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2B03F8" w:rsidRDefault="000F037D" w:rsidP="00643EB0">
      <w:pPr>
        <w:pStyle w:val="Heading1"/>
      </w:pPr>
      <w:r>
        <w:t>TEACHING TOOL 2 – QI CHARTER</w:t>
      </w:r>
    </w:p>
    <w:p w:rsidR="000F037D" w:rsidRDefault="004561BF" w:rsidP="000F037D">
      <w:pPr>
        <w:pStyle w:val="Subtitle"/>
      </w:pPr>
      <w:hyperlink r:id="rId11" w:history="1">
        <w:r w:rsidRPr="004561BF">
          <w:rPr>
            <w:rStyle w:val="Hyperlink"/>
          </w:rPr>
          <w:t>Access the online version of the tool.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  <w:gridCol w:w="1170"/>
        <w:gridCol w:w="2340"/>
        <w:gridCol w:w="2340"/>
        <w:gridCol w:w="630"/>
        <w:gridCol w:w="630"/>
        <w:gridCol w:w="1890"/>
        <w:gridCol w:w="630"/>
        <w:gridCol w:w="1615"/>
      </w:tblGrid>
      <w:tr w:rsidR="00760FE5" w:rsidRPr="00760FE5" w:rsidTr="00760FE5">
        <w:tc>
          <w:tcPr>
            <w:tcW w:w="12950" w:type="dxa"/>
            <w:gridSpan w:val="10"/>
            <w:shd w:val="clear" w:color="auto" w:fill="003A5B" w:themeFill="text2"/>
          </w:tcPr>
          <w:p w:rsidR="000F037D" w:rsidRPr="00760FE5" w:rsidRDefault="000F037D" w:rsidP="000F037D">
            <w:pPr>
              <w:pStyle w:val="ChartHead"/>
              <w:spacing w:line="276" w:lineRule="auto"/>
              <w:jc w:val="center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QI Charter</w:t>
            </w:r>
          </w:p>
        </w:tc>
      </w:tr>
      <w:tr w:rsidR="000F037D" w:rsidTr="000F037D">
        <w:tc>
          <w:tcPr>
            <w:tcW w:w="12950" w:type="dxa"/>
            <w:gridSpan w:val="10"/>
          </w:tcPr>
          <w:p w:rsidR="000F037D" w:rsidRDefault="000F037D" w:rsidP="000F037D">
            <w:pPr>
              <w:pStyle w:val="ChartHead"/>
              <w:spacing w:line="276" w:lineRule="auto"/>
            </w:pPr>
            <w:r>
              <w:t xml:space="preserve">Program: </w:t>
            </w:r>
          </w:p>
          <w:p w:rsidR="000F037D" w:rsidRDefault="000F037D" w:rsidP="000F037D">
            <w:pPr>
              <w:pStyle w:val="ChartHead"/>
              <w:spacing w:line="276" w:lineRule="auto"/>
            </w:pPr>
            <w:r>
              <w:t xml:space="preserve">Date: </w:t>
            </w:r>
          </w:p>
          <w:p w:rsidR="000F037D" w:rsidRDefault="000F037D" w:rsidP="000F037D">
            <w:pPr>
              <w:pStyle w:val="ChartBodyLeft"/>
              <w:spacing w:line="276" w:lineRule="auto"/>
            </w:pPr>
            <w:r>
              <w:t xml:space="preserve">As a team we are committed to achieving the following performance improvement goals: </w:t>
            </w:r>
          </w:p>
          <w:p w:rsidR="000F037D" w:rsidRDefault="000F037D" w:rsidP="000F037D">
            <w:pPr>
              <w:pStyle w:val="ListParagraph"/>
            </w:pPr>
            <w:r>
              <w:t xml:space="preserve">  </w:t>
            </w:r>
          </w:p>
          <w:p w:rsidR="000F037D" w:rsidRPr="000F037D" w:rsidRDefault="000F037D" w:rsidP="000F037D">
            <w:pPr>
              <w:pStyle w:val="ListParagraph"/>
            </w:pPr>
            <w:r>
              <w:t xml:space="preserve">  </w:t>
            </w:r>
          </w:p>
        </w:tc>
      </w:tr>
      <w:tr w:rsidR="00760FE5" w:rsidRPr="00760FE5" w:rsidTr="00760FE5">
        <w:tc>
          <w:tcPr>
            <w:tcW w:w="12950" w:type="dxa"/>
            <w:gridSpan w:val="10"/>
            <w:tcBorders>
              <w:bottom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jc w:val="center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What are we trying to accomplish?</w:t>
            </w:r>
          </w:p>
        </w:tc>
      </w:tr>
      <w:tr w:rsidR="00760FE5" w:rsidRPr="00760FE5" w:rsidTr="00760FE5">
        <w:tc>
          <w:tcPr>
            <w:tcW w:w="7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No.</w:t>
            </w:r>
          </w:p>
        </w:tc>
        <w:tc>
          <w:tcPr>
            <w:tcW w:w="2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What are we trying to accomplish?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How will we know that a change is an improvement?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What changes will we make that will result in an improvement?</w:t>
            </w:r>
          </w:p>
        </w:tc>
        <w:tc>
          <w:tcPr>
            <w:tcW w:w="1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Timeline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Leader accountable for achieving outcomes</w:t>
            </w:r>
          </w:p>
        </w:tc>
        <w:tc>
          <w:tcPr>
            <w:tcW w:w="161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3A5B" w:themeFill="text2"/>
          </w:tcPr>
          <w:p w:rsidR="000F037D" w:rsidRPr="00760FE5" w:rsidRDefault="000F037D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Support requirements</w:t>
            </w:r>
          </w:p>
        </w:tc>
      </w:tr>
      <w:tr w:rsidR="000F037D" w:rsidTr="00760FE5">
        <w:tc>
          <w:tcPr>
            <w:tcW w:w="7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1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2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52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6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</w:tr>
      <w:tr w:rsidR="000F037D" w:rsidTr="00760FE5">
        <w:tc>
          <w:tcPr>
            <w:tcW w:w="7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1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2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52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6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</w:tr>
      <w:tr w:rsidR="000F037D" w:rsidTr="00760FE5">
        <w:tc>
          <w:tcPr>
            <w:tcW w:w="7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1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2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52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6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</w:tr>
      <w:tr w:rsidR="000F037D" w:rsidTr="00760FE5">
        <w:tc>
          <w:tcPr>
            <w:tcW w:w="7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1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2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52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6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</w:tr>
      <w:tr w:rsidR="000F037D" w:rsidTr="00760FE5">
        <w:tc>
          <w:tcPr>
            <w:tcW w:w="7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1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340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26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2520" w:type="dxa"/>
            <w:gridSpan w:val="2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  <w:tc>
          <w:tcPr>
            <w:tcW w:w="1615" w:type="dxa"/>
          </w:tcPr>
          <w:p w:rsidR="000F037D" w:rsidRDefault="000F037D" w:rsidP="00760FE5">
            <w:pPr>
              <w:pStyle w:val="ChartBodyLeft"/>
              <w:spacing w:line="360" w:lineRule="auto"/>
            </w:pPr>
          </w:p>
        </w:tc>
      </w:tr>
      <w:tr w:rsidR="00760FE5" w:rsidRPr="00760FE5" w:rsidTr="00760FE5">
        <w:tc>
          <w:tcPr>
            <w:tcW w:w="12950" w:type="dxa"/>
            <w:gridSpan w:val="10"/>
            <w:tcBorders>
              <w:bottom w:val="single" w:sz="4" w:space="0" w:color="FFFFFF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Head"/>
              <w:spacing w:line="276" w:lineRule="auto"/>
              <w:jc w:val="center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Project Accountability</w:t>
            </w:r>
          </w:p>
        </w:tc>
      </w:tr>
      <w:tr w:rsidR="00760FE5" w:rsidRPr="00760FE5" w:rsidTr="00760FE5">
        <w:tc>
          <w:tcPr>
            <w:tcW w:w="1705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Role</w:t>
            </w:r>
          </w:p>
        </w:tc>
        <w:tc>
          <w:tcPr>
            <w:tcW w:w="648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Responsibility</w:t>
            </w:r>
          </w:p>
        </w:tc>
        <w:tc>
          <w:tcPr>
            <w:tcW w:w="2520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Name</w:t>
            </w:r>
          </w:p>
        </w:tc>
        <w:tc>
          <w:tcPr>
            <w:tcW w:w="2245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003A5B" w:themeFill="text2"/>
          </w:tcPr>
          <w:p w:rsidR="00760FE5" w:rsidRPr="00760FE5" w:rsidRDefault="00760FE5" w:rsidP="00760FE5">
            <w:pPr>
              <w:pStyle w:val="ChartBodyLeft"/>
              <w:spacing w:line="276" w:lineRule="auto"/>
              <w:rPr>
                <w:color w:val="FFFFFF" w:themeColor="background1"/>
              </w:rPr>
            </w:pPr>
            <w:r w:rsidRPr="00760FE5">
              <w:rPr>
                <w:color w:val="FFFFFF" w:themeColor="background1"/>
              </w:rPr>
              <w:t>Signature</w:t>
            </w: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  <w:tr w:rsidR="00760FE5" w:rsidTr="00760FE5">
        <w:tc>
          <w:tcPr>
            <w:tcW w:w="170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6480" w:type="dxa"/>
            <w:gridSpan w:val="4"/>
          </w:tcPr>
          <w:p w:rsidR="00760FE5" w:rsidRDefault="00760FE5" w:rsidP="00760FE5">
            <w:pPr>
              <w:pStyle w:val="ListParagraph"/>
            </w:pPr>
          </w:p>
        </w:tc>
        <w:tc>
          <w:tcPr>
            <w:tcW w:w="2520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  <w:tc>
          <w:tcPr>
            <w:tcW w:w="2245" w:type="dxa"/>
            <w:gridSpan w:val="2"/>
          </w:tcPr>
          <w:p w:rsidR="00760FE5" w:rsidRDefault="00760FE5" w:rsidP="00760FE5">
            <w:pPr>
              <w:pStyle w:val="ChartBodyLeft"/>
              <w:spacing w:line="276" w:lineRule="auto"/>
            </w:pPr>
          </w:p>
        </w:tc>
      </w:tr>
    </w:tbl>
    <w:p w:rsidR="00EA1E12" w:rsidRPr="00AE7966" w:rsidRDefault="00EA1E12" w:rsidP="00EA1E12">
      <w:pPr>
        <w:rPr>
          <w:lang w:val="fr-FR"/>
        </w:rPr>
      </w:pPr>
    </w:p>
    <w:sectPr w:rsidR="00EA1E12" w:rsidRPr="00AE7966" w:rsidSect="009B0B70">
      <w:footerReference w:type="default" r:id="rId12"/>
      <w:headerReference w:type="first" r:id="rId13"/>
      <w:footerReference w:type="first" r:id="rId14"/>
      <w:pgSz w:w="15840" w:h="12240" w:orient="landscape"/>
      <w:pgMar w:top="864" w:right="1440" w:bottom="1152" w:left="144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3992880</wp:posOffset>
              </wp:positionH>
              <wp:positionV relativeFrom="paragraph">
                <wp:posOffset>185420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6F450" id="Rectangle 3" o:spid="_x0000_s1026" style="position:absolute;margin-left:314.4pt;margin-top:14.6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760FE5" w:rsidRDefault="00760FE5" w:rsidP="00760FE5">
    <w:pPr>
      <w:jc w:val="center"/>
      <w:rPr>
        <w:sz w:val="20"/>
      </w:rPr>
    </w:pPr>
    <w:r w:rsidRPr="00760FE5">
      <w:rPr>
        <w:sz w:val="20"/>
        <w:lang w:val="en-GB"/>
      </w:rPr>
      <w:t xml:space="preserve">Teaching Quality Improvement in Residency Education – </w:t>
    </w:r>
    <w:r w:rsidRPr="00760FE5">
      <w:rPr>
        <w:color w:val="005384" w:themeColor="text2" w:themeTint="E6"/>
        <w:sz w:val="20"/>
        <w:lang w:val="en-GB"/>
      </w:rPr>
      <w:t>TOOL 2: QI CHARTER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A33F7"/>
    <w:multiLevelType w:val="hybridMultilevel"/>
    <w:tmpl w:val="6E7C19F0"/>
    <w:lvl w:ilvl="0" w:tplc="64625EEE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037D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561BF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43EB0"/>
    <w:rsid w:val="00654037"/>
    <w:rsid w:val="00663960"/>
    <w:rsid w:val="00670E6C"/>
    <w:rsid w:val="00721E45"/>
    <w:rsid w:val="00734F3B"/>
    <w:rsid w:val="007511BC"/>
    <w:rsid w:val="00760FE5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33A1"/>
    <w:rsid w:val="00995F49"/>
    <w:rsid w:val="009B0B70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43EBEF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F037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3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03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meds.royalcollege.ca/en/too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C8-8561-4E98-AE97-1341464386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3c17827-2a44-4186-817e-0d9f5805cdb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0B2B6-DA6B-4978-8BAD-185EAD3E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4</cp:revision>
  <cp:lastPrinted>2018-08-24T17:51:00Z</cp:lastPrinted>
  <dcterms:created xsi:type="dcterms:W3CDTF">2021-10-20T14:01:00Z</dcterms:created>
  <dcterms:modified xsi:type="dcterms:W3CDTF">2021-10-25T17:41:00Z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