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DD" w:rsidRPr="005449DD" w:rsidRDefault="0045129C" w:rsidP="00AE4FB7">
      <w:pPr>
        <w:pStyle w:val="Title"/>
      </w:pPr>
      <w:r w:rsidRPr="005449DD">
        <w:rPr>
          <w:lang w:eastAsia="en-GB"/>
        </w:rPr>
        <w:drawing>
          <wp:anchor distT="0" distB="0" distL="114300" distR="114300" simplePos="0" relativeHeight="251656704" behindDoc="1" locked="0" layoutInCell="1" allowOverlap="1" wp14:anchorId="6D6DC100" wp14:editId="26921DCE">
            <wp:simplePos x="0" y="0"/>
            <wp:positionH relativeFrom="column">
              <wp:posOffset>-173963</wp:posOffset>
            </wp:positionH>
            <wp:positionV relativeFrom="paragraph">
              <wp:posOffset>92597</wp:posOffset>
            </wp:positionV>
            <wp:extent cx="3966336" cy="316800"/>
            <wp:effectExtent l="0" t="0" r="0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36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70" w:rsidRPr="005449DD">
        <w:rPr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8E249A" wp14:editId="3E1F0DB3">
                <wp:simplePos x="0" y="0"/>
                <wp:positionH relativeFrom="column">
                  <wp:posOffset>-73998</wp:posOffset>
                </wp:positionH>
                <wp:positionV relativeFrom="paragraph">
                  <wp:posOffset>-21142</wp:posOffset>
                </wp:positionV>
                <wp:extent cx="3276431" cy="294996"/>
                <wp:effectExtent l="0" t="0" r="635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431" cy="2949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5D45" id="Rectangle 9" o:spid="_x0000_s1026" style="position:absolute;margin-left:-5.85pt;margin-top:-1.65pt;width:258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" fillcolor="#9a3324 [3206]" stroked="f" strokeweight="1pt"/>
            </w:pict>
          </mc:Fallback>
        </mc:AlternateContent>
      </w:r>
      <w:r w:rsidR="001675B9">
        <w:rPr>
          <w:lang w:eastAsia="en-GB"/>
        </w:rPr>
        <w:t>Checklist</w:t>
      </w:r>
    </w:p>
    <w:p w:rsidR="002802DD" w:rsidRPr="005449DD" w:rsidRDefault="00EA5201" w:rsidP="00AF2D83">
      <w:pPr>
        <w:pStyle w:val="Heading1"/>
      </w:pPr>
      <w:r>
        <w:t xml:space="preserve">Running a </w:t>
      </w:r>
      <w:r w:rsidR="00A10F1C">
        <w:t>Competence Committee</w:t>
      </w:r>
    </w:p>
    <w:p w:rsidR="00A10F1C" w:rsidRDefault="009B1534" w:rsidP="00D976BC">
      <w:pPr>
        <w:pStyle w:val="Heading2"/>
        <w:rPr>
          <w:szCs w:val="24"/>
        </w:rPr>
      </w:pPr>
      <w:r w:rsidRPr="005449DD">
        <w:rPr>
          <w:noProof/>
          <w:lang w:eastAsia="en-GB"/>
        </w:rPr>
        <mc:AlternateContent>
          <mc:Choice Requires="wps">
            <w:drawing>
              <wp:inline distT="0" distB="0" distL="0" distR="0" wp14:anchorId="38C6E21B">
                <wp:extent cx="5934710" cy="0"/>
                <wp:effectExtent l="0" t="0" r="0" b="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3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66B2BB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" strokecolor="#00a3ad" strokeweight="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  <w:gridCol w:w="1420"/>
      </w:tblGrid>
      <w:tr w:rsidR="001675B9" w:rsidTr="0033159A">
        <w:tc>
          <w:tcPr>
            <w:tcW w:w="7930" w:type="dxa"/>
          </w:tcPr>
          <w:p w:rsidR="001675B9" w:rsidRPr="005827DC" w:rsidRDefault="001675B9" w:rsidP="0033159A">
            <w:pPr>
              <w:jc w:val="center"/>
              <w:rPr>
                <w:b/>
                <w:bCs/>
              </w:rPr>
            </w:pPr>
            <w:r w:rsidRPr="005827DC">
              <w:rPr>
                <w:b/>
                <w:bCs/>
              </w:rPr>
              <w:t>Item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1675B9" w:rsidTr="0033159A">
        <w:tc>
          <w:tcPr>
            <w:tcW w:w="7930" w:type="dxa"/>
          </w:tcPr>
          <w:p w:rsidR="001675B9" w:rsidRDefault="001675B9" w:rsidP="0033159A">
            <w:pPr>
              <w:rPr>
                <w:b/>
                <w:bCs/>
              </w:rPr>
            </w:pPr>
            <w:r>
              <w:rPr>
                <w:b/>
                <w:bCs/>
              </w:rPr>
              <w:t>Getting Started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</w:p>
        </w:tc>
      </w:tr>
      <w:tr w:rsidR="001675B9" w:rsidTr="0033159A">
        <w:tc>
          <w:tcPr>
            <w:tcW w:w="7930" w:type="dxa"/>
          </w:tcPr>
          <w:p w:rsidR="001675B9" w:rsidRPr="009948D2" w:rsidRDefault="001675B9" w:rsidP="0033159A">
            <w:r>
              <w:t>Develop Mission Statement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9948D2" w:rsidRDefault="001675B9" w:rsidP="0033159A">
            <w:r w:rsidRPr="009948D2">
              <w:t xml:space="preserve">Develop Terms of Reference for competence committee </w:t>
            </w:r>
            <w:r>
              <w:t xml:space="preserve">&amp; </w:t>
            </w:r>
            <w:r w:rsidRPr="009948D2">
              <w:t>members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9948D2" w:rsidRDefault="001675B9" w:rsidP="0033159A">
            <w:r w:rsidRPr="009948D2">
              <w:t>Assign primary reviewers for each resident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9948D2" w:rsidRDefault="001675B9" w:rsidP="0033159A">
            <w:r w:rsidRPr="009948D2">
              <w:t>Develop an assessment map to align competence committee meetings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9948D2" w:rsidRDefault="001675B9" w:rsidP="0033159A">
            <w:r w:rsidRPr="009948D2">
              <w:t>Determine the best method to collate and review data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9350" w:type="dxa"/>
            <w:gridSpan w:val="2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</w:p>
        </w:tc>
      </w:tr>
      <w:tr w:rsidR="001675B9" w:rsidTr="0033159A">
        <w:tc>
          <w:tcPr>
            <w:tcW w:w="7930" w:type="dxa"/>
          </w:tcPr>
          <w:p w:rsidR="001675B9" w:rsidRDefault="001675B9" w:rsidP="0033159A">
            <w:pPr>
              <w:rPr>
                <w:b/>
                <w:bCs/>
              </w:rPr>
            </w:pPr>
            <w:r>
              <w:rPr>
                <w:b/>
                <w:bCs/>
              </w:rPr>
              <w:t>Meeting Process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</w:p>
        </w:tc>
      </w:tr>
      <w:tr w:rsidR="001675B9" w:rsidTr="0033159A">
        <w:tc>
          <w:tcPr>
            <w:tcW w:w="7930" w:type="dxa"/>
          </w:tcPr>
          <w:p w:rsidR="001675B9" w:rsidRPr="00E66766" w:rsidRDefault="001675B9" w:rsidP="0033159A">
            <w:r>
              <w:t xml:space="preserve">Determine rules of Engagement 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E66766" w:rsidRDefault="001675B9" w:rsidP="0033159A">
            <w:r>
              <w:t>Develop Agenda well in advance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E66766" w:rsidRDefault="001675B9" w:rsidP="0033159A">
            <w:r>
              <w:t>Determine how you will keep on task &amp; on time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E66766" w:rsidRDefault="001675B9" w:rsidP="0033159A">
            <w:r>
              <w:t>Determine decision making process &amp; minutes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E66766" w:rsidRDefault="001675B9" w:rsidP="0033159A">
            <w:r>
              <w:t>Determine role of faculty development / Program Eval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9350" w:type="dxa"/>
            <w:gridSpan w:val="2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</w:p>
        </w:tc>
      </w:tr>
      <w:tr w:rsidR="001675B9" w:rsidTr="0033159A">
        <w:tc>
          <w:tcPr>
            <w:tcW w:w="7930" w:type="dxa"/>
          </w:tcPr>
          <w:p w:rsidR="001675B9" w:rsidRDefault="001675B9" w:rsidP="0033159A">
            <w:pPr>
              <w:rPr>
                <w:b/>
                <w:bCs/>
              </w:rPr>
            </w:pPr>
            <w:r>
              <w:rPr>
                <w:b/>
                <w:bCs/>
              </w:rPr>
              <w:t>Post-meeting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</w:p>
        </w:tc>
      </w:tr>
      <w:tr w:rsidR="001675B9" w:rsidTr="0033159A">
        <w:tc>
          <w:tcPr>
            <w:tcW w:w="7930" w:type="dxa"/>
          </w:tcPr>
          <w:p w:rsidR="001675B9" w:rsidRPr="005827DC" w:rsidRDefault="001675B9" w:rsidP="0033159A">
            <w:r>
              <w:t xml:space="preserve">Determine </w:t>
            </w:r>
            <w:r w:rsidRPr="005827DC">
              <w:rPr>
                <w:i/>
                <w:iCs/>
              </w:rPr>
              <w:t>which decisions</w:t>
            </w:r>
            <w:r>
              <w:t xml:space="preserve"> need to be communicated and </w:t>
            </w:r>
            <w:r>
              <w:rPr>
                <w:i/>
                <w:iCs/>
              </w:rPr>
              <w:t>who</w:t>
            </w:r>
            <w:r>
              <w:t xml:space="preserve"> will communicate the decisions to PGME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5827DC" w:rsidRDefault="001675B9" w:rsidP="0033159A">
            <w:r>
              <w:t xml:space="preserve">Determine </w:t>
            </w:r>
            <w:r>
              <w:rPr>
                <w:i/>
                <w:iCs/>
              </w:rPr>
              <w:t>what information</w:t>
            </w:r>
            <w:r>
              <w:t xml:space="preserve"> should be communicated to the RPC for each resident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5827DC" w:rsidRDefault="001675B9" w:rsidP="0033159A">
            <w:r>
              <w:t xml:space="preserve">Determine </w:t>
            </w:r>
            <w:r>
              <w:rPr>
                <w:i/>
                <w:iCs/>
              </w:rPr>
              <w:t>who</w:t>
            </w:r>
            <w:r>
              <w:t xml:space="preserve"> will communicate decisions to the resident and </w:t>
            </w:r>
            <w:r>
              <w:rPr>
                <w:i/>
                <w:iCs/>
              </w:rPr>
              <w:t>how</w:t>
            </w:r>
            <w:r>
              <w:t xml:space="preserve"> this will be accomplished (e.g., email, face-to-face meeting)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5827DC" w:rsidRDefault="001675B9" w:rsidP="0033159A">
            <w:r>
              <w:t xml:space="preserve">Determine </w:t>
            </w:r>
            <w:r>
              <w:rPr>
                <w:i/>
                <w:iCs/>
              </w:rPr>
              <w:t>where</w:t>
            </w:r>
            <w:r>
              <w:t xml:space="preserve"> meeting minutes/reports will be kept and </w:t>
            </w:r>
            <w:r>
              <w:rPr>
                <w:i/>
                <w:iCs/>
              </w:rPr>
              <w:t>who</w:t>
            </w:r>
            <w:r>
              <w:t xml:space="preserve"> will have access to these documents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  <w:tr w:rsidR="001675B9" w:rsidTr="0033159A">
        <w:tc>
          <w:tcPr>
            <w:tcW w:w="7930" w:type="dxa"/>
          </w:tcPr>
          <w:p w:rsidR="001675B9" w:rsidRPr="005827DC" w:rsidRDefault="001675B9" w:rsidP="0033159A">
            <w:r>
              <w:t xml:space="preserve">Determine </w:t>
            </w:r>
            <w:r>
              <w:rPr>
                <w:i/>
                <w:iCs/>
              </w:rPr>
              <w:t>who</w:t>
            </w:r>
            <w:r>
              <w:t xml:space="preserve"> is responsible for developing individualized learning plans</w:t>
            </w:r>
          </w:p>
        </w:tc>
        <w:tc>
          <w:tcPr>
            <w:tcW w:w="1420" w:type="dxa"/>
            <w:vAlign w:val="center"/>
          </w:tcPr>
          <w:p w:rsidR="001675B9" w:rsidRDefault="001675B9" w:rsidP="00331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FF"/>
            </w:r>
          </w:p>
        </w:tc>
      </w:tr>
    </w:tbl>
    <w:p w:rsidR="001675B9" w:rsidRDefault="001675B9" w:rsidP="009D68C7"/>
    <w:p w:rsidR="001675B9" w:rsidRDefault="001675B9" w:rsidP="009D68C7"/>
    <w:p w:rsidR="001675B9" w:rsidRDefault="001675B9">
      <w:pPr>
        <w:spacing w:line="276" w:lineRule="auto"/>
        <w:rPr>
          <w:rFonts w:asciiTheme="majorHAnsi" w:eastAsiaTheme="majorEastAsia" w:hAnsiTheme="majorHAnsi" w:cstheme="majorBidi"/>
          <w:b/>
          <w:bCs/>
          <w:color w:val="007680" w:themeColor="accent1"/>
          <w:sz w:val="24"/>
          <w:szCs w:val="26"/>
        </w:rPr>
      </w:pPr>
      <w:r>
        <w:br w:type="page"/>
      </w:r>
    </w:p>
    <w:p w:rsidR="001675B9" w:rsidRDefault="001675B9" w:rsidP="001675B9">
      <w:pPr>
        <w:pStyle w:val="Heading2"/>
      </w:pPr>
      <w:r>
        <w:lastRenderedPageBreak/>
        <w:t>Resources</w:t>
      </w:r>
    </w:p>
    <w:p w:rsidR="001675B9" w:rsidRDefault="001675B9" w:rsidP="001675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675B9" w:rsidTr="00816539">
        <w:tc>
          <w:tcPr>
            <w:tcW w:w="4675" w:type="dxa"/>
          </w:tcPr>
          <w:p w:rsidR="001675B9" w:rsidRPr="00816539" w:rsidRDefault="00816539" w:rsidP="001675B9">
            <w:pPr>
              <w:rPr>
                <w:bCs/>
              </w:rPr>
            </w:pPr>
            <w:hyperlink r:id="rId9" w:history="1">
              <w:r w:rsidR="001675B9" w:rsidRPr="00816539">
                <w:rPr>
                  <w:rStyle w:val="Hyperlink"/>
                  <w:bCs/>
                </w:rPr>
                <w:t>Template Terms of Reference</w:t>
              </w:r>
            </w:hyperlink>
          </w:p>
          <w:p w:rsidR="001675B9" w:rsidRPr="00816539" w:rsidRDefault="001675B9" w:rsidP="001675B9"/>
        </w:tc>
        <w:tc>
          <w:tcPr>
            <w:tcW w:w="4675" w:type="dxa"/>
          </w:tcPr>
          <w:p w:rsidR="001675B9" w:rsidRDefault="00816539" w:rsidP="000A36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4" name="Picture 14" descr="C:\Users\amurphy\AppData\Local\Microsoft\Windows\INetCache\Content.MSO\FB114C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urphy\AppData\Local\Microsoft\Windows\INetCache\Content.MSO\FB114C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04" cy="91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39" w:rsidRDefault="00816539" w:rsidP="00816539"/>
          <w:p w:rsidR="00816539" w:rsidRDefault="00816539" w:rsidP="00816539"/>
        </w:tc>
      </w:tr>
      <w:tr w:rsidR="001675B9" w:rsidTr="00816539">
        <w:tc>
          <w:tcPr>
            <w:tcW w:w="4675" w:type="dxa"/>
          </w:tcPr>
          <w:p w:rsidR="001675B9" w:rsidRPr="00816539" w:rsidRDefault="00816539" w:rsidP="001675B9">
            <w:pPr>
              <w:rPr>
                <w:bCs/>
              </w:rPr>
            </w:pPr>
            <w:hyperlink r:id="rId11" w:history="1">
              <w:r w:rsidR="001675B9" w:rsidRPr="00816539">
                <w:rPr>
                  <w:rStyle w:val="Hyperlink"/>
                  <w:bCs/>
                </w:rPr>
                <w:t>Template Process and Procedures</w:t>
              </w:r>
              <w:r w:rsidRPr="00816539">
                <w:rPr>
                  <w:rStyle w:val="Hyperlink"/>
                  <w:bCs/>
                </w:rPr>
                <w:t xml:space="preserve"> in Decision-Making</w:t>
              </w:r>
            </w:hyperlink>
          </w:p>
          <w:p w:rsidR="001675B9" w:rsidRPr="00816539" w:rsidRDefault="001675B9" w:rsidP="001675B9"/>
        </w:tc>
        <w:tc>
          <w:tcPr>
            <w:tcW w:w="4675" w:type="dxa"/>
          </w:tcPr>
          <w:p w:rsidR="001675B9" w:rsidRDefault="00816539" w:rsidP="000A36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5" name="Picture 15" descr="C:\Users\amurphy\AppData\Local\Microsoft\Windows\INetCache\Content.MSO\2D62C0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urphy\AppData\Local\Microsoft\Windows\INetCache\Content.MSO\2D62C0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39" w:rsidRDefault="00816539" w:rsidP="001675B9"/>
          <w:p w:rsidR="00816539" w:rsidRDefault="00816539" w:rsidP="001675B9"/>
        </w:tc>
      </w:tr>
      <w:tr w:rsidR="001675B9" w:rsidTr="00816539">
        <w:tc>
          <w:tcPr>
            <w:tcW w:w="4675" w:type="dxa"/>
          </w:tcPr>
          <w:p w:rsidR="001675B9" w:rsidRDefault="00816539" w:rsidP="001675B9">
            <w:hyperlink r:id="rId13" w:history="1">
              <w:r w:rsidR="00E85CED" w:rsidRPr="00816539">
                <w:rPr>
                  <w:rStyle w:val="Hyperlink"/>
                </w:rPr>
                <w:t>Mock Competence Committee Cases</w:t>
              </w:r>
            </w:hyperlink>
          </w:p>
        </w:tc>
        <w:tc>
          <w:tcPr>
            <w:tcW w:w="4675" w:type="dxa"/>
          </w:tcPr>
          <w:p w:rsidR="001675B9" w:rsidRDefault="00816539" w:rsidP="000A36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6" name="Picture 16" descr="C:\Users\amurphy\AppData\Local\Microsoft\Windows\INetCache\Content.MSO\81D63B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urphy\AppData\Local\Microsoft\Windows\INetCache\Content.MSO\81D63B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39" w:rsidRDefault="00816539" w:rsidP="001675B9"/>
        </w:tc>
      </w:tr>
      <w:tr w:rsidR="001675B9" w:rsidTr="00816539">
        <w:tc>
          <w:tcPr>
            <w:tcW w:w="4675" w:type="dxa"/>
          </w:tcPr>
          <w:p w:rsidR="001675B9" w:rsidRDefault="00816539" w:rsidP="001675B9">
            <w:hyperlink r:id="rId15" w:history="1">
              <w:r w:rsidR="00E85CED" w:rsidRPr="00816539">
                <w:rPr>
                  <w:rStyle w:val="Hyperlink"/>
                </w:rPr>
                <w:t>Royal College Status Recommendations</w:t>
              </w:r>
            </w:hyperlink>
          </w:p>
        </w:tc>
        <w:tc>
          <w:tcPr>
            <w:tcW w:w="4675" w:type="dxa"/>
          </w:tcPr>
          <w:p w:rsidR="00816539" w:rsidRDefault="00816539" w:rsidP="001675B9"/>
          <w:p w:rsidR="00816539" w:rsidRDefault="00816539" w:rsidP="001675B9"/>
          <w:p w:rsidR="00816539" w:rsidRDefault="00816539" w:rsidP="001675B9"/>
          <w:p w:rsidR="00816539" w:rsidRDefault="00816539" w:rsidP="001675B9"/>
          <w:p w:rsidR="00816539" w:rsidRDefault="00816539" w:rsidP="001675B9"/>
          <w:p w:rsidR="00816539" w:rsidRDefault="00816539" w:rsidP="001675B9"/>
          <w:p w:rsidR="00816539" w:rsidRDefault="00816539" w:rsidP="001675B9"/>
          <w:p w:rsidR="00816539" w:rsidRDefault="00816539" w:rsidP="001675B9"/>
          <w:p w:rsidR="001675B9" w:rsidRDefault="00816539" w:rsidP="001675B9">
            <w:r w:rsidRPr="005827DC">
              <w:rPr>
                <w:b/>
                <w:bCs/>
                <w:noProof/>
              </w:rPr>
              <w:drawing>
                <wp:anchor distT="0" distB="0" distL="114300" distR="114300" simplePos="0" relativeHeight="251665920" behindDoc="1" locked="0" layoutInCell="1" allowOverlap="1" wp14:anchorId="22898766" wp14:editId="111C2056">
                  <wp:simplePos x="3949700" y="58356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2526" cy="914400"/>
                  <wp:effectExtent l="0" t="0" r="9525" b="0"/>
                  <wp:wrapSquare wrapText="bothSides"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1DEC4E-7197-EF42-B0ED-BFCE85A929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1A1DEC4E-7197-EF42-B0ED-BFCE85A929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75B9" w:rsidTr="00816539">
        <w:tc>
          <w:tcPr>
            <w:tcW w:w="4675" w:type="dxa"/>
          </w:tcPr>
          <w:p w:rsidR="001675B9" w:rsidRDefault="00816539" w:rsidP="00E85CED">
            <w:pPr>
              <w:rPr>
                <w:bCs/>
              </w:rPr>
            </w:pPr>
            <w:hyperlink r:id="rId17" w:anchor="/lessons/FnwU-jcRJjg4XQp1SpH50WOLdsEdDq_N" w:history="1">
              <w:r w:rsidR="00E85CED" w:rsidRPr="00816539">
                <w:rPr>
                  <w:rStyle w:val="Hyperlink"/>
                  <w:bCs/>
                </w:rPr>
                <w:t>Set up a Competence Committee</w:t>
              </w:r>
            </w:hyperlink>
            <w:r w:rsidR="00E85CED" w:rsidRPr="00E85CED">
              <w:rPr>
                <w:bCs/>
              </w:rPr>
              <w:t xml:space="preserve"> (CBD for Program Directors)</w:t>
            </w:r>
          </w:p>
          <w:p w:rsidR="002B3808" w:rsidRDefault="002B3808" w:rsidP="00E85CED"/>
        </w:tc>
        <w:tc>
          <w:tcPr>
            <w:tcW w:w="4675" w:type="dxa"/>
          </w:tcPr>
          <w:p w:rsidR="001675B9" w:rsidRDefault="00816539" w:rsidP="000A36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2" name="Picture 12" descr="C:\Users\amurphy\AppData\Local\Microsoft\Windows\INetCache\Content.MSO\CF6678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urphy\AppData\Local\Microsoft\Windows\INetCache\Content.MSO\CF6678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808" w:rsidRDefault="002B3808" w:rsidP="000A36A1">
            <w:pPr>
              <w:jc w:val="center"/>
            </w:pPr>
          </w:p>
          <w:p w:rsidR="002B3808" w:rsidRDefault="002B3808" w:rsidP="000A36A1">
            <w:pPr>
              <w:jc w:val="center"/>
            </w:pPr>
          </w:p>
        </w:tc>
      </w:tr>
      <w:tr w:rsidR="00816539" w:rsidTr="00816539">
        <w:tc>
          <w:tcPr>
            <w:tcW w:w="4675" w:type="dxa"/>
          </w:tcPr>
          <w:p w:rsidR="00816539" w:rsidRPr="00E85CED" w:rsidRDefault="002B3808" w:rsidP="00E85CED">
            <w:pPr>
              <w:rPr>
                <w:bCs/>
              </w:rPr>
            </w:pPr>
            <w:hyperlink r:id="rId19" w:history="1">
              <w:r w:rsidR="00816539" w:rsidRPr="002B3808">
                <w:rPr>
                  <w:rStyle w:val="Hyperlink"/>
                  <w:bCs/>
                </w:rPr>
                <w:t>CBD Resource Director</w:t>
              </w:r>
              <w:r w:rsidR="000A36A1" w:rsidRPr="002B3808">
                <w:rPr>
                  <w:rStyle w:val="Hyperlink"/>
                  <w:bCs/>
                </w:rPr>
                <w:t>y</w:t>
              </w:r>
            </w:hyperlink>
          </w:p>
        </w:tc>
        <w:tc>
          <w:tcPr>
            <w:tcW w:w="4675" w:type="dxa"/>
          </w:tcPr>
          <w:p w:rsidR="00816539" w:rsidRDefault="00816539" w:rsidP="002B380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2350" cy="1022350"/>
                  <wp:effectExtent l="0" t="0" r="6350" b="6350"/>
                  <wp:docPr id="13" name="Picture 13" descr="C:\Users\amurphy\AppData\Local\Microsoft\Windows\INetCache\Content.MSO\7EC874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urphy\AppData\Local\Microsoft\Windows\INetCache\Content.MSO\7EC874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5B9" w:rsidRPr="001675B9" w:rsidRDefault="001675B9" w:rsidP="001675B9">
      <w:bookmarkStart w:id="0" w:name="_GoBack"/>
      <w:bookmarkEnd w:id="0"/>
    </w:p>
    <w:p w:rsidR="009B1534" w:rsidRPr="00D976BC" w:rsidRDefault="00816539" w:rsidP="00EA5201">
      <w:pPr>
        <w:pStyle w:val="Heading2"/>
        <w:rPr>
          <w:szCs w:val="24"/>
        </w:rPr>
      </w:pPr>
      <w:r>
        <w:rPr>
          <w:szCs w:val="24"/>
        </w:rPr>
        <w:lastRenderedPageBreak/>
        <w:t xml:space="preserve">References 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Cs w:val="20"/>
        </w:rPr>
      </w:pPr>
      <w:r w:rsidRPr="00816539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Implementation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Benjamin Kinnear, Eric J. Warm, Karen E. Hauer. (2018) </w:t>
      </w:r>
      <w:hyperlink r:id="rId21" w:tgtFrame="_blank" w:history="1">
        <w:r w:rsidRPr="00816539">
          <w:rPr>
            <w:rStyle w:val="Hyperlink"/>
            <w:rFonts w:asciiTheme="minorHAnsi" w:hAnsiTheme="minorHAnsi" w:cstheme="minorHAnsi"/>
            <w:szCs w:val="20"/>
            <w:bdr w:val="none" w:sz="0" w:space="0" w:color="auto" w:frame="1"/>
          </w:rPr>
          <w:t>Twelve tips to maximize the value of a clinical competency committee in postgraduate medical education</w:t>
        </w:r>
      </w:hyperlink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.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Medical Teacher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 40:11, pages 1110-1115. 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French, et al. “A Systematic Approach Toward Building a Fully Operational Clinical Competency Committee.”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Journal of Surgical Education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, vol. 71, no. 6, 2014, pp. e22–e27.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</w:pPr>
      <w:r w:rsidRPr="00816539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Frameworks &amp; Process Models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Rachael Pack, Lorelei Lingard, Christopher J Watling, Saad Chahine, </w:t>
      </w:r>
      <w:proofErr w:type="spellStart"/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Sayra</w:t>
      </w:r>
      <w:proofErr w:type="spellEnd"/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 xml:space="preserve"> M </w:t>
      </w:r>
      <w:proofErr w:type="spellStart"/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Cristancho</w:t>
      </w:r>
      <w:proofErr w:type="spellEnd"/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. (2019) Some assembly required: tracing the interpretative work of Clinical Competency Committees.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Medical Education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 32. 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 xml:space="preserve">Amy Acker &amp; Emily </w:t>
      </w:r>
      <w:proofErr w:type="spellStart"/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Hawksby</w:t>
      </w:r>
      <w:proofErr w:type="spellEnd"/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 xml:space="preserve"> (2019) Competence committee: How meeting frequency impacts committee function and learner-centered assessment, Medical Teacher, DOI: 10.1080/0142159X.2019.1627302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bdr w:val="none" w:sz="0" w:space="0" w:color="auto" w:frame="1"/>
        </w:rPr>
      </w:pPr>
      <w:proofErr w:type="spellStart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Duitsman</w:t>
      </w:r>
      <w:proofErr w:type="spellEnd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Marrigje</w:t>
      </w:r>
      <w:proofErr w:type="spellEnd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 xml:space="preserve"> E., et al. “Judging Residents' Performance: </w:t>
      </w:r>
      <w:proofErr w:type="gramStart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 xml:space="preserve"> Qualitative Study Using Grounded Theory.”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BMC Medical Education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, vol. 19, no. 1, 2019, pp. 1–9.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Schumacher, et al. “Thresholds and Interpretations: How Clinical Competency Committees Identify Pediatric Residents with Performance Concerns.”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Medical Teacher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, vol. 40, no. 1, 2018, pp. 70–79.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Cs w:val="20"/>
        </w:rPr>
      </w:pPr>
      <w:r w:rsidRPr="00816539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Decision making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Hauer, Karen E, et al. “Ensuring Resident Competence: A Narrative Review of the Literature on Group Decision Making to Inform the Work of Clinical Competency Committees.”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Journal of Graduate Medical Education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, vol. 8, no. 2, 2016, pp. 156–164.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Cs w:val="20"/>
          <w:bdr w:val="none" w:sz="0" w:space="0" w:color="auto" w:frame="1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Chahine, Saad, et al. “How Do Small Groups Make Decisions?”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Perspectives on Medical Education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, vol. 6, no. 3, 2017, pp. 192–198.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</w:rPr>
      </w:pPr>
      <w:proofErr w:type="spellStart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Shumacher</w:t>
      </w:r>
      <w:proofErr w:type="spellEnd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, Daniel J., et al. “Key Factors in Clinical Competency Committee Members’ Decisions Regarding Residents’ Readiness to Serve as Supervisors: A National Study.”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  <w:shd w:val="clear" w:color="auto" w:fill="FFFFFF"/>
        </w:rPr>
        <w:t>Academic Medicine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, vol. 94, no. 2, 2019, pp. 251–258.</w:t>
      </w:r>
    </w:p>
    <w:p w:rsidR="00816539" w:rsidRPr="00816539" w:rsidRDefault="00816539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</w:rPr>
      </w:pPr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 xml:space="preserve">Acai, Anita, et al. “Getting with the Times: </w:t>
      </w:r>
      <w:proofErr w:type="gramStart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Pr="00816539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</w:rPr>
        <w:t> Narrative Review of the Literature on Group Decision Making in Virtual Environments and Implications for Promotions Committees.” </w:t>
      </w:r>
      <w:r w:rsidRPr="00816539">
        <w:rPr>
          <w:rFonts w:asciiTheme="minorHAnsi" w:hAnsiTheme="minorHAnsi" w:cstheme="minorHAnsi"/>
          <w:i/>
          <w:iCs/>
          <w:szCs w:val="20"/>
          <w:bdr w:val="none" w:sz="0" w:space="0" w:color="auto" w:frame="1"/>
        </w:rPr>
        <w:t>Perspectives on Medical Education</w:t>
      </w:r>
      <w:r w:rsidRPr="00816539">
        <w:rPr>
          <w:rFonts w:asciiTheme="minorHAnsi" w:hAnsiTheme="minorHAnsi" w:cstheme="minorHAnsi"/>
          <w:szCs w:val="20"/>
          <w:bdr w:val="none" w:sz="0" w:space="0" w:color="auto" w:frame="1"/>
        </w:rPr>
        <w:t>, vol. 7, no. 3, 2018, pp. 147–155.</w:t>
      </w:r>
    </w:p>
    <w:p w:rsidR="00816539" w:rsidRDefault="00816539" w:rsidP="003315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szCs w:val="20"/>
          <w:bdr w:val="none" w:sz="0" w:space="0" w:color="auto" w:frame="1"/>
        </w:rPr>
        <w:t> </w:t>
      </w:r>
    </w:p>
    <w:p w:rsidR="00816539" w:rsidRPr="002E69C0" w:rsidRDefault="00816539" w:rsidP="00816539">
      <w:pPr>
        <w:jc w:val="center"/>
        <w:rPr>
          <w:b/>
          <w:bCs/>
          <w:u w:val="single"/>
        </w:rPr>
      </w:pPr>
    </w:p>
    <w:p w:rsidR="00D976BC" w:rsidRDefault="00D976BC" w:rsidP="00CB73C0">
      <w:pPr>
        <w:pStyle w:val="Heading2"/>
      </w:pPr>
    </w:p>
    <w:sectPr w:rsidR="00D976BC" w:rsidSect="00255259">
      <w:headerReference w:type="default" r:id="rId22"/>
      <w:footerReference w:type="default" r:id="rId23"/>
      <w:footerReference w:type="first" r:id="rId24"/>
      <w:pgSz w:w="12240" w:h="15840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CE" w:rsidRDefault="001604CE" w:rsidP="0047098E">
      <w:pPr>
        <w:spacing w:after="0"/>
      </w:pPr>
      <w:r>
        <w:separator/>
      </w:r>
    </w:p>
  </w:endnote>
  <w:endnote w:type="continuationSeparator" w:id="0">
    <w:p w:rsidR="001604CE" w:rsidRDefault="001604CE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Arial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40886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1604CE" w:rsidRPr="00813420" w:rsidRDefault="001604CE">
        <w:pPr>
          <w:pStyle w:val="Footer"/>
          <w:jc w:val="center"/>
          <w:rPr>
            <w:b/>
            <w:sz w:val="18"/>
            <w:szCs w:val="18"/>
          </w:rPr>
        </w:pPr>
        <w:r w:rsidRPr="00813420">
          <w:rPr>
            <w:b/>
            <w:sz w:val="18"/>
            <w:szCs w:val="18"/>
          </w:rPr>
          <w:fldChar w:fldCharType="begin"/>
        </w:r>
        <w:r w:rsidRPr="00813420">
          <w:rPr>
            <w:b/>
            <w:sz w:val="18"/>
            <w:szCs w:val="18"/>
          </w:rPr>
          <w:instrText xml:space="preserve"> PAGE   \* MERGEFORMAT </w:instrText>
        </w:r>
        <w:r w:rsidRPr="00813420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2</w:t>
        </w:r>
        <w:r w:rsidRPr="00813420">
          <w:rPr>
            <w:b/>
            <w:noProof/>
            <w:sz w:val="18"/>
            <w:szCs w:val="18"/>
          </w:rPr>
          <w:fldChar w:fldCharType="end"/>
        </w:r>
      </w:p>
    </w:sdtContent>
  </w:sdt>
  <w:p w:rsidR="001604CE" w:rsidRDefault="001604C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28BAF" wp14:editId="4AC572B8">
              <wp:simplePos x="0" y="0"/>
              <wp:positionH relativeFrom="column">
                <wp:posOffset>2831095</wp:posOffset>
              </wp:positionH>
              <wp:positionV relativeFrom="paragraph">
                <wp:posOffset>61595</wp:posOffset>
              </wp:positionV>
              <wp:extent cx="266700" cy="47625"/>
              <wp:effectExtent l="0" t="0" r="0" b="952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FDA481" id="Rectangle 3" o:spid="_x0000_s1026" style="position:absolute;margin-left:222.9pt;margin-top:4.85pt;width:21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" fillcolor="#00a3ad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CE" w:rsidRPr="00813420" w:rsidRDefault="001604CE" w:rsidP="005406B1">
    <w:pPr>
      <w:pStyle w:val="Footer"/>
      <w:jc w:val="right"/>
      <w:rPr>
        <w:color w:val="003A5B" w:themeColor="text2"/>
        <w:sz w:val="18"/>
        <w:szCs w:val="18"/>
      </w:rPr>
    </w:pPr>
    <w:r w:rsidRPr="00813420">
      <w:rPr>
        <w:noProof/>
        <w:color w:val="003A5B" w:themeColor="text2"/>
        <w:sz w:val="18"/>
        <w:szCs w:val="18"/>
        <w:lang w:val="en-GB" w:eastAsia="en-GB"/>
      </w:rPr>
      <w:drawing>
        <wp:anchor distT="0" distB="0" distL="114300" distR="114300" simplePos="0" relativeHeight="251660288" behindDoc="1" locked="0" layoutInCell="1" allowOverlap="1" wp14:anchorId="13CED4E3" wp14:editId="50D2C7C9">
          <wp:simplePos x="0" y="0"/>
          <wp:positionH relativeFrom="margin">
            <wp:posOffset>-451774</wp:posOffset>
          </wp:positionH>
          <wp:positionV relativeFrom="margin">
            <wp:posOffset>8135620</wp:posOffset>
          </wp:positionV>
          <wp:extent cx="1951200" cy="856800"/>
          <wp:effectExtent l="0" t="0" r="0" b="0"/>
          <wp:wrapNone/>
          <wp:docPr id="5" name="Picture 5" title="Royal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_0129_RC_Logo_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420">
      <w:rPr>
        <w:noProof/>
        <w:color w:val="003A5B" w:themeColor="text2"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58B161E6" wp14:editId="2805A028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8255"/>
          <wp:wrapNone/>
          <wp:docPr id="7" name="Picture 7" descr="Image of the paper structure participants are asked to build as part of the workshop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-PDF_template2-e-f_B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13420">
      <w:rPr>
        <w:color w:val="003A5B" w:themeColor="text2"/>
        <w:sz w:val="18"/>
        <w:szCs w:val="18"/>
      </w:rPr>
      <w:t xml:space="preserve">royalcollege.ca  </w:t>
    </w:r>
    <w:r w:rsidRPr="00E41865">
      <w:rPr>
        <w:color w:val="00A3AD" w:themeColor="accent5"/>
        <w:sz w:val="18"/>
        <w:szCs w:val="18"/>
      </w:rPr>
      <w:t>•</w:t>
    </w:r>
    <w:proofErr w:type="gramEnd"/>
    <w:r w:rsidRPr="00813420">
      <w:rPr>
        <w:color w:val="00A3AD"/>
        <w:sz w:val="18"/>
        <w:szCs w:val="18"/>
      </w:rPr>
      <w:t xml:space="preserve"> </w:t>
    </w:r>
    <w:r w:rsidRPr="00813420">
      <w:rPr>
        <w:color w:val="003A5B" w:themeColor="text2"/>
        <w:sz w:val="18"/>
        <w:szCs w:val="18"/>
      </w:rPr>
      <w:t xml:space="preserve"> collegeroyal.ca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CE" w:rsidRDefault="001604CE" w:rsidP="0047098E">
      <w:pPr>
        <w:spacing w:after="0"/>
      </w:pPr>
      <w:r>
        <w:separator/>
      </w:r>
    </w:p>
  </w:footnote>
  <w:footnote w:type="continuationSeparator" w:id="0">
    <w:p w:rsidR="001604CE" w:rsidRDefault="001604CE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CE" w:rsidRPr="005406B1" w:rsidRDefault="001604CE">
    <w:pPr>
      <w:pStyle w:val="Header"/>
      <w:rPr>
        <w:color w:val="808080" w:themeColor="background1" w:themeShade="8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58856816" wp14:editId="10F70B35">
          <wp:simplePos x="0" y="0"/>
          <wp:positionH relativeFrom="column">
            <wp:posOffset>6315075</wp:posOffset>
          </wp:positionH>
          <wp:positionV relativeFrom="page">
            <wp:posOffset>168910</wp:posOffset>
          </wp:positionV>
          <wp:extent cx="352800" cy="648000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90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08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8E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22D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8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C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E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6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4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8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1E9D"/>
    <w:multiLevelType w:val="hybridMultilevel"/>
    <w:tmpl w:val="41F0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955B1"/>
    <w:multiLevelType w:val="hybridMultilevel"/>
    <w:tmpl w:val="699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207F5"/>
    <w:multiLevelType w:val="hybridMultilevel"/>
    <w:tmpl w:val="D32E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D2434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 w:themeColor="accen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C766B7"/>
    <w:multiLevelType w:val="hybridMultilevel"/>
    <w:tmpl w:val="A43E82FC"/>
    <w:lvl w:ilvl="0" w:tplc="91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2A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4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C44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68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84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81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EA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A8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D0672"/>
    <w:multiLevelType w:val="hybridMultilevel"/>
    <w:tmpl w:val="E92A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F5C34"/>
    <w:multiLevelType w:val="hybridMultilevel"/>
    <w:tmpl w:val="9076A6E0"/>
    <w:lvl w:ilvl="0" w:tplc="6D2EE4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 w:themeColor="accent3"/>
      </w:rPr>
    </w:lvl>
    <w:lvl w:ilvl="1" w:tplc="86E213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7680" w:themeColor="accent1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80151"/>
    <w:multiLevelType w:val="hybridMultilevel"/>
    <w:tmpl w:val="3E78E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E64D0"/>
    <w:multiLevelType w:val="hybridMultilevel"/>
    <w:tmpl w:val="9DF68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3589C"/>
    <w:multiLevelType w:val="hybridMultilevel"/>
    <w:tmpl w:val="8758B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75D45"/>
    <w:multiLevelType w:val="hybridMultilevel"/>
    <w:tmpl w:val="CBC4C7EE"/>
    <w:lvl w:ilvl="0" w:tplc="AAAC3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0A30"/>
    <w:multiLevelType w:val="hybridMultilevel"/>
    <w:tmpl w:val="FE080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D77D01"/>
    <w:multiLevelType w:val="hybridMultilevel"/>
    <w:tmpl w:val="D44A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40935"/>
    <w:multiLevelType w:val="hybridMultilevel"/>
    <w:tmpl w:val="E53CD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BE72B8"/>
    <w:multiLevelType w:val="hybridMultilevel"/>
    <w:tmpl w:val="998CF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87AD6"/>
    <w:multiLevelType w:val="hybridMultilevel"/>
    <w:tmpl w:val="FFDAD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6B1CB2"/>
    <w:multiLevelType w:val="hybridMultilevel"/>
    <w:tmpl w:val="FD94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16F2"/>
    <w:multiLevelType w:val="hybridMultilevel"/>
    <w:tmpl w:val="8A46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53584"/>
    <w:multiLevelType w:val="hybridMultilevel"/>
    <w:tmpl w:val="7822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DC33F0"/>
    <w:multiLevelType w:val="hybridMultilevel"/>
    <w:tmpl w:val="7C8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B0E8E"/>
    <w:multiLevelType w:val="hybridMultilevel"/>
    <w:tmpl w:val="441C7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4"/>
  </w:num>
  <w:num w:numId="15">
    <w:abstractNumId w:val="17"/>
    <w:lvlOverride w:ilvl="0">
      <w:startOverride w:val="1"/>
    </w:lvlOverride>
  </w:num>
  <w:num w:numId="16">
    <w:abstractNumId w:val="31"/>
  </w:num>
  <w:num w:numId="17">
    <w:abstractNumId w:val="20"/>
  </w:num>
  <w:num w:numId="18">
    <w:abstractNumId w:val="18"/>
  </w:num>
  <w:num w:numId="19">
    <w:abstractNumId w:val="11"/>
  </w:num>
  <w:num w:numId="20">
    <w:abstractNumId w:val="23"/>
  </w:num>
  <w:num w:numId="21">
    <w:abstractNumId w:val="27"/>
  </w:num>
  <w:num w:numId="22">
    <w:abstractNumId w:val="16"/>
  </w:num>
  <w:num w:numId="23">
    <w:abstractNumId w:val="29"/>
  </w:num>
  <w:num w:numId="24">
    <w:abstractNumId w:val="28"/>
  </w:num>
  <w:num w:numId="25">
    <w:abstractNumId w:val="21"/>
  </w:num>
  <w:num w:numId="26">
    <w:abstractNumId w:val="30"/>
  </w:num>
  <w:num w:numId="27">
    <w:abstractNumId w:val="26"/>
  </w:num>
  <w:num w:numId="28">
    <w:abstractNumId w:val="15"/>
  </w:num>
  <w:num w:numId="29">
    <w:abstractNumId w:val="25"/>
  </w:num>
  <w:num w:numId="30">
    <w:abstractNumId w:val="22"/>
  </w:num>
  <w:num w:numId="31">
    <w:abstractNumId w:val="19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75"/>
    <w:rsid w:val="00012F29"/>
    <w:rsid w:val="00024A0A"/>
    <w:rsid w:val="00035356"/>
    <w:rsid w:val="00050DD3"/>
    <w:rsid w:val="00074412"/>
    <w:rsid w:val="000753B2"/>
    <w:rsid w:val="00092222"/>
    <w:rsid w:val="000A36A1"/>
    <w:rsid w:val="000A3EA6"/>
    <w:rsid w:val="000A47F0"/>
    <w:rsid w:val="000B3514"/>
    <w:rsid w:val="000C47A0"/>
    <w:rsid w:val="000F481B"/>
    <w:rsid w:val="0011497D"/>
    <w:rsid w:val="00124147"/>
    <w:rsid w:val="001604CE"/>
    <w:rsid w:val="001675B9"/>
    <w:rsid w:val="0017084C"/>
    <w:rsid w:val="001D484A"/>
    <w:rsid w:val="0023602E"/>
    <w:rsid w:val="00255259"/>
    <w:rsid w:val="002802DD"/>
    <w:rsid w:val="002B2420"/>
    <w:rsid w:val="002B3808"/>
    <w:rsid w:val="002C0E3C"/>
    <w:rsid w:val="002E36F9"/>
    <w:rsid w:val="002F2EB0"/>
    <w:rsid w:val="002F5F6D"/>
    <w:rsid w:val="00317045"/>
    <w:rsid w:val="003320B2"/>
    <w:rsid w:val="0033590E"/>
    <w:rsid w:val="003572A0"/>
    <w:rsid w:val="00392375"/>
    <w:rsid w:val="003A03D0"/>
    <w:rsid w:val="00441491"/>
    <w:rsid w:val="00441AB3"/>
    <w:rsid w:val="0045129C"/>
    <w:rsid w:val="00455437"/>
    <w:rsid w:val="004575EC"/>
    <w:rsid w:val="004604BF"/>
    <w:rsid w:val="00467661"/>
    <w:rsid w:val="0047098E"/>
    <w:rsid w:val="00472F90"/>
    <w:rsid w:val="00485B4F"/>
    <w:rsid w:val="004F1666"/>
    <w:rsid w:val="0053087F"/>
    <w:rsid w:val="0053240E"/>
    <w:rsid w:val="005406B1"/>
    <w:rsid w:val="005449DD"/>
    <w:rsid w:val="005713B3"/>
    <w:rsid w:val="005A57F7"/>
    <w:rsid w:val="005A6F77"/>
    <w:rsid w:val="005B0CC1"/>
    <w:rsid w:val="005D6E35"/>
    <w:rsid w:val="005D7AA9"/>
    <w:rsid w:val="005F6A7C"/>
    <w:rsid w:val="00601080"/>
    <w:rsid w:val="00613FB2"/>
    <w:rsid w:val="00654037"/>
    <w:rsid w:val="006621DF"/>
    <w:rsid w:val="00670E6C"/>
    <w:rsid w:val="00693C2B"/>
    <w:rsid w:val="006C2EAF"/>
    <w:rsid w:val="006C74A4"/>
    <w:rsid w:val="00713C89"/>
    <w:rsid w:val="00714C20"/>
    <w:rsid w:val="00721E45"/>
    <w:rsid w:val="007511BC"/>
    <w:rsid w:val="007775DE"/>
    <w:rsid w:val="007A2F08"/>
    <w:rsid w:val="007A38D9"/>
    <w:rsid w:val="007A7C19"/>
    <w:rsid w:val="007D0550"/>
    <w:rsid w:val="007F0175"/>
    <w:rsid w:val="0080250F"/>
    <w:rsid w:val="00813420"/>
    <w:rsid w:val="00816539"/>
    <w:rsid w:val="00832875"/>
    <w:rsid w:val="008904C2"/>
    <w:rsid w:val="00897B17"/>
    <w:rsid w:val="008C2410"/>
    <w:rsid w:val="008F5393"/>
    <w:rsid w:val="009019E1"/>
    <w:rsid w:val="00916231"/>
    <w:rsid w:val="00931C45"/>
    <w:rsid w:val="0095449F"/>
    <w:rsid w:val="009733A1"/>
    <w:rsid w:val="009801B5"/>
    <w:rsid w:val="00980FFB"/>
    <w:rsid w:val="0099230A"/>
    <w:rsid w:val="00995F49"/>
    <w:rsid w:val="009A26B1"/>
    <w:rsid w:val="009B1534"/>
    <w:rsid w:val="009B5752"/>
    <w:rsid w:val="009C4159"/>
    <w:rsid w:val="009D68C7"/>
    <w:rsid w:val="00A10F1C"/>
    <w:rsid w:val="00A36EA6"/>
    <w:rsid w:val="00A4377F"/>
    <w:rsid w:val="00A85F82"/>
    <w:rsid w:val="00AC0E4C"/>
    <w:rsid w:val="00AE0AF1"/>
    <w:rsid w:val="00AE4FB7"/>
    <w:rsid w:val="00AF2D83"/>
    <w:rsid w:val="00B327BB"/>
    <w:rsid w:val="00B70AE2"/>
    <w:rsid w:val="00B86D85"/>
    <w:rsid w:val="00B90031"/>
    <w:rsid w:val="00BA77F2"/>
    <w:rsid w:val="00BC74A1"/>
    <w:rsid w:val="00BC796F"/>
    <w:rsid w:val="00BE2FD1"/>
    <w:rsid w:val="00C05470"/>
    <w:rsid w:val="00C1092A"/>
    <w:rsid w:val="00C10EE1"/>
    <w:rsid w:val="00C11BB5"/>
    <w:rsid w:val="00C12633"/>
    <w:rsid w:val="00C15205"/>
    <w:rsid w:val="00C20F41"/>
    <w:rsid w:val="00C24518"/>
    <w:rsid w:val="00C31041"/>
    <w:rsid w:val="00C808EB"/>
    <w:rsid w:val="00C829F3"/>
    <w:rsid w:val="00C86E80"/>
    <w:rsid w:val="00C86F18"/>
    <w:rsid w:val="00C96911"/>
    <w:rsid w:val="00CA7C89"/>
    <w:rsid w:val="00CB5633"/>
    <w:rsid w:val="00CB73C0"/>
    <w:rsid w:val="00CC68D4"/>
    <w:rsid w:val="00CE3091"/>
    <w:rsid w:val="00CE6073"/>
    <w:rsid w:val="00D07C5D"/>
    <w:rsid w:val="00D100D8"/>
    <w:rsid w:val="00D1164E"/>
    <w:rsid w:val="00D14EF1"/>
    <w:rsid w:val="00D57751"/>
    <w:rsid w:val="00D976BC"/>
    <w:rsid w:val="00DA09A4"/>
    <w:rsid w:val="00DC165C"/>
    <w:rsid w:val="00DE6127"/>
    <w:rsid w:val="00DE6CDE"/>
    <w:rsid w:val="00E14C9B"/>
    <w:rsid w:val="00E41865"/>
    <w:rsid w:val="00E757B7"/>
    <w:rsid w:val="00E760BB"/>
    <w:rsid w:val="00E85CED"/>
    <w:rsid w:val="00EA5201"/>
    <w:rsid w:val="00EE0E32"/>
    <w:rsid w:val="00EF4EE8"/>
    <w:rsid w:val="00F04B27"/>
    <w:rsid w:val="00F368FE"/>
    <w:rsid w:val="00F434C7"/>
    <w:rsid w:val="00F44AA3"/>
    <w:rsid w:val="00F614DD"/>
    <w:rsid w:val="00F833D0"/>
    <w:rsid w:val="00FB10BA"/>
    <w:rsid w:val="00FC5E4D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8A1B8A"/>
  <w15:docId w15:val="{92397F30-3E8F-47D3-8185-ED390F08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6BC"/>
    <w:rPr>
      <w:rFonts w:asciiTheme="majorHAnsi" w:eastAsiaTheme="majorEastAsia" w:hAnsiTheme="majorHAnsi" w:cstheme="majorBidi"/>
      <w:b/>
      <w:bCs/>
      <w:color w:val="00768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table" w:styleId="TableGrid">
    <w:name w:val="Table Grid"/>
    <w:basedOn w:val="TableNormal"/>
    <w:uiPriority w:val="39"/>
    <w:rsid w:val="00D9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6BC"/>
    <w:rPr>
      <w:color w:val="003B5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C89"/>
    <w:rPr>
      <w:color w:val="0076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222"/>
    <w:rPr>
      <w:color w:val="605E5C"/>
      <w:shd w:val="clear" w:color="auto" w:fill="E1DFDD"/>
    </w:rPr>
  </w:style>
  <w:style w:type="paragraph" w:customStyle="1" w:styleId="Normal1">
    <w:name w:val="Normal1"/>
    <w:rsid w:val="007775DE"/>
    <w:pPr>
      <w:spacing w:after="0" w:line="240" w:lineRule="auto"/>
    </w:pPr>
    <w:rPr>
      <w:rFonts w:ascii="Times" w:eastAsia="Times" w:hAnsi="Times" w:cs="Time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yalcollege.ca/mssites/casescenarios_en/story_html5.html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andfonline.com/doi/abs/10.1080/0142159X.2018.147419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royalcollege.ca/mssites/cbdpd/en/content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college.ca/rcsite/documents/cbd/competence-committees-process-procedures-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oyalcollege.ca/rcsite/cbd/assessment/committees/competence-committees-status-recommendations-e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royalcollege.ca/rcsite/cbd/cbd-tools-resources-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college.ca/rcsite/documents/cbd/competence-committees-guidelines-for-terms-of-reference-e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phy\Downloads\rc-briefing-note-template%20(1)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68E-AF69-4987-B55C-ABB6E55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rc-briefing-note-template (1)</Template>
  <TotalTime>17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April</dc:creator>
  <cp:lastModifiedBy>Murphy, April</cp:lastModifiedBy>
  <cp:revision>5</cp:revision>
  <cp:lastPrinted>2019-04-09T16:33:00Z</cp:lastPrinted>
  <dcterms:created xsi:type="dcterms:W3CDTF">2020-08-10T19:55:00Z</dcterms:created>
  <dcterms:modified xsi:type="dcterms:W3CDTF">2020-08-10T20:15:00Z</dcterms:modified>
</cp:coreProperties>
</file>