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6829" w14:textId="01AA1E7B" w:rsidR="002802DD" w:rsidRPr="00AF2D83" w:rsidRDefault="0090395A" w:rsidP="00AF2D83">
      <w:pPr>
        <w:pStyle w:val="Heading1"/>
      </w:pPr>
      <w:bookmarkStart w:id="0" w:name="_Toc524443441"/>
      <w:r w:rsidRPr="0090395A">
        <w:rPr>
          <w:sz w:val="36"/>
          <w:szCs w:val="36"/>
        </w:rPr>
        <w:t>Policy on</w:t>
      </w:r>
      <w:r>
        <w:rPr>
          <w:sz w:val="24"/>
          <w:szCs w:val="24"/>
        </w:rPr>
        <w:t xml:space="preserve"> </w:t>
      </w:r>
      <w:r>
        <w:rPr>
          <w:sz w:val="24"/>
          <w:szCs w:val="24"/>
        </w:rPr>
        <w:br/>
      </w:r>
      <w:r w:rsidR="005C7014">
        <w:t xml:space="preserve">Formal Review of Examinations </w:t>
      </w:r>
      <w:bookmarkEnd w:id="0"/>
    </w:p>
    <w:p w14:paraId="5BD9E7C7" w14:textId="77777777" w:rsidR="0090395A" w:rsidRPr="00492B53" w:rsidRDefault="0090395A" w:rsidP="0090395A">
      <w:pPr>
        <w:pStyle w:val="Heading3"/>
        <w:numPr>
          <w:ilvl w:val="0"/>
          <w:numId w:val="14"/>
        </w:numPr>
        <w:spacing w:before="200" w:line="259" w:lineRule="auto"/>
      </w:pPr>
      <w:r>
        <w:t>Objective</w:t>
      </w:r>
      <w:r w:rsidR="00CE200B">
        <w:t xml:space="preserve"> &amp; Scope</w:t>
      </w:r>
    </w:p>
    <w:p w14:paraId="4ADB61F4" w14:textId="3AC5A7C0" w:rsidR="00AC5128" w:rsidRDefault="00AC5128" w:rsidP="00714574">
      <w:pPr>
        <w:pStyle w:val="Heading3"/>
        <w:spacing w:before="0" w:after="0"/>
        <w:ind w:left="12"/>
        <w:rPr>
          <w:rFonts w:asciiTheme="minorHAnsi" w:eastAsiaTheme="minorHAnsi" w:hAnsiTheme="minorHAnsi" w:cstheme="minorBidi"/>
          <w:b w:val="0"/>
          <w:bCs w:val="0"/>
          <w:color w:val="595959" w:themeColor="text1" w:themeTint="A6"/>
          <w:sz w:val="20"/>
          <w:szCs w:val="22"/>
        </w:rPr>
      </w:pPr>
      <w:r w:rsidRPr="00AC5128">
        <w:rPr>
          <w:rFonts w:asciiTheme="minorHAnsi" w:eastAsiaTheme="minorHAnsi" w:hAnsiTheme="minorHAnsi" w:cstheme="minorBidi"/>
          <w:b w:val="0"/>
          <w:bCs w:val="0"/>
          <w:color w:val="595959" w:themeColor="text1" w:themeTint="A6"/>
          <w:sz w:val="20"/>
          <w:szCs w:val="22"/>
        </w:rPr>
        <w:t>This document outlines the policy and procedures for the formal review of examinations</w:t>
      </w:r>
      <w:r w:rsidR="0053033C">
        <w:rPr>
          <w:rFonts w:asciiTheme="minorHAnsi" w:eastAsiaTheme="minorHAnsi" w:hAnsiTheme="minorHAnsi" w:cstheme="minorBidi"/>
          <w:b w:val="0"/>
          <w:bCs w:val="0"/>
          <w:color w:val="595959" w:themeColor="text1" w:themeTint="A6"/>
          <w:sz w:val="20"/>
          <w:szCs w:val="22"/>
        </w:rPr>
        <w:t xml:space="preserve"> </w:t>
      </w:r>
      <w:r w:rsidRPr="00AC5128">
        <w:rPr>
          <w:rFonts w:asciiTheme="minorHAnsi" w:eastAsiaTheme="minorHAnsi" w:hAnsiTheme="minorHAnsi" w:cstheme="minorBidi"/>
          <w:b w:val="0"/>
          <w:bCs w:val="0"/>
          <w:color w:val="595959" w:themeColor="text1" w:themeTint="A6"/>
          <w:sz w:val="20"/>
          <w:szCs w:val="22"/>
        </w:rPr>
        <w:t xml:space="preserve">of the Royal College of Physicians and Surgeons of Canada (the “Royal College”). It is intended for candidates, Chairs, and members of Discipline Specific Examination Boards </w:t>
      </w:r>
      <w:r w:rsidR="00714574">
        <w:rPr>
          <w:rFonts w:asciiTheme="minorHAnsi" w:eastAsiaTheme="minorHAnsi" w:hAnsiTheme="minorHAnsi" w:cstheme="minorBidi"/>
          <w:b w:val="0"/>
          <w:bCs w:val="0"/>
          <w:color w:val="595959" w:themeColor="text1" w:themeTint="A6"/>
          <w:sz w:val="20"/>
          <w:szCs w:val="22"/>
        </w:rPr>
        <w:t>(</w:t>
      </w:r>
      <w:r w:rsidRPr="00AC5128">
        <w:rPr>
          <w:rFonts w:asciiTheme="minorHAnsi" w:eastAsiaTheme="minorHAnsi" w:hAnsiTheme="minorHAnsi" w:cstheme="minorBidi"/>
          <w:b w:val="0"/>
          <w:bCs w:val="0"/>
          <w:color w:val="595959" w:themeColor="text1" w:themeTint="A6"/>
          <w:sz w:val="20"/>
          <w:szCs w:val="22"/>
        </w:rPr>
        <w:t>including invigilators appointed by the Royal College), Examination and Assessment Committee members, and Royal College staff.</w:t>
      </w:r>
    </w:p>
    <w:p w14:paraId="2BA012AC" w14:textId="77777777" w:rsidR="00622B39" w:rsidRPr="00622B39" w:rsidRDefault="00622B39" w:rsidP="00714574">
      <w:pPr>
        <w:spacing w:after="0"/>
      </w:pPr>
    </w:p>
    <w:p w14:paraId="01EA83F6" w14:textId="7F2BCBBB" w:rsidR="00AB072C" w:rsidRDefault="00AB072C" w:rsidP="00714574">
      <w:pPr>
        <w:widowControl w:val="0"/>
        <w:spacing w:after="0"/>
        <w:rPr>
          <w:rFonts w:eastAsia="Times New Roman"/>
        </w:rPr>
      </w:pPr>
      <w:r w:rsidRPr="00B04859">
        <w:rPr>
          <w:rFonts w:eastAsia="Times New Roman"/>
        </w:rPr>
        <w:t xml:space="preserve">Formal reviews of examinations are part of the evaluation and quality improvement system used by the Royal College to grant specialist certification.  They provide a means to investigate the circumstances of the written, oral, or other type of examination administered to one or several candidates, and to ascertain whether the </w:t>
      </w:r>
      <w:r w:rsidRPr="00B04859">
        <w:rPr>
          <w:rFonts w:eastAsia="Times New Roman"/>
          <w:b/>
        </w:rPr>
        <w:t>process</w:t>
      </w:r>
      <w:r w:rsidRPr="00B04859">
        <w:rPr>
          <w:rFonts w:eastAsia="Times New Roman"/>
        </w:rPr>
        <w:t xml:space="preserve"> was carried out under conditions appropriate to the conduct of an examination as determined by the Discipline Specific Examination Boards and approved by the Examination Committee of the Royal College.  Formal reviews of examinations involve candidates, Royal College examiners, the Examination Committee, the Assessment Committee, and the Office of </w:t>
      </w:r>
      <w:r w:rsidR="000C1906">
        <w:rPr>
          <w:rFonts w:eastAsia="Times New Roman"/>
        </w:rPr>
        <w:t>Standards and Assessment</w:t>
      </w:r>
      <w:r w:rsidR="000C1906" w:rsidRPr="00B04859">
        <w:rPr>
          <w:rFonts w:eastAsia="Times New Roman"/>
        </w:rPr>
        <w:t xml:space="preserve"> </w:t>
      </w:r>
      <w:r w:rsidR="003873A2" w:rsidRPr="00B04859">
        <w:rPr>
          <w:rFonts w:eastAsia="Times New Roman"/>
        </w:rPr>
        <w:t>to</w:t>
      </w:r>
      <w:r w:rsidRPr="00B04859">
        <w:rPr>
          <w:rFonts w:eastAsia="Times New Roman"/>
        </w:rPr>
        <w:t xml:space="preserve"> identify any </w:t>
      </w:r>
      <w:r w:rsidRPr="00B04859">
        <w:rPr>
          <w:rFonts w:eastAsia="Times New Roman"/>
          <w:b/>
        </w:rPr>
        <w:t>significant irregularities in the conduct of the examination process</w:t>
      </w:r>
      <w:r w:rsidRPr="00B04859">
        <w:rPr>
          <w:rFonts w:eastAsia="Times New Roman"/>
        </w:rPr>
        <w:t xml:space="preserve"> and any procedural unfairness materially affecting one or several candidates.</w:t>
      </w:r>
    </w:p>
    <w:p w14:paraId="0565789F" w14:textId="20D1107B" w:rsidR="009D7174" w:rsidRDefault="009D7174" w:rsidP="00AB072C">
      <w:pPr>
        <w:widowControl w:val="0"/>
        <w:spacing w:after="0"/>
        <w:rPr>
          <w:rFonts w:eastAsia="Times New Roman"/>
        </w:rPr>
      </w:pPr>
    </w:p>
    <w:p w14:paraId="288D4490" w14:textId="762C3619" w:rsidR="0090395A" w:rsidRDefault="0090395A" w:rsidP="00437CA1">
      <w:pPr>
        <w:pStyle w:val="Heading3"/>
        <w:numPr>
          <w:ilvl w:val="0"/>
          <w:numId w:val="14"/>
        </w:numPr>
        <w:spacing w:before="200" w:line="259" w:lineRule="auto"/>
      </w:pPr>
      <w:r>
        <w:t>Definitions &amp; Acronyms</w:t>
      </w:r>
    </w:p>
    <w:p w14:paraId="4E8C2320" w14:textId="1E53CF76" w:rsidR="001E56E7" w:rsidRPr="001E56E7" w:rsidRDefault="001E56E7" w:rsidP="001E56E7">
      <w:pPr>
        <w:rPr>
          <w:b/>
        </w:rPr>
      </w:pPr>
      <w:r w:rsidRPr="00C83392">
        <w:t xml:space="preserve">This section defines key terms used in the </w:t>
      </w:r>
      <w:r w:rsidRPr="00067FB5">
        <w:t xml:space="preserve">policy.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300"/>
      </w:tblGrid>
      <w:tr w:rsidR="0090395A" w14:paraId="7E9D7125" w14:textId="77777777" w:rsidTr="00356D0C">
        <w:tc>
          <w:tcPr>
            <w:tcW w:w="2538" w:type="dxa"/>
          </w:tcPr>
          <w:p w14:paraId="712C6228" w14:textId="7741B0B0" w:rsidR="0090395A" w:rsidRDefault="00B30265" w:rsidP="00356D0C">
            <w:r>
              <w:t>Royal College</w:t>
            </w:r>
          </w:p>
        </w:tc>
        <w:tc>
          <w:tcPr>
            <w:tcW w:w="6300" w:type="dxa"/>
          </w:tcPr>
          <w:p w14:paraId="4EBE8913" w14:textId="391B96F5" w:rsidR="0090395A" w:rsidRDefault="00B30265" w:rsidP="00356D0C">
            <w:r>
              <w:t xml:space="preserve">The Royal College of Physicians and Surgeons of Canada </w:t>
            </w:r>
          </w:p>
        </w:tc>
      </w:tr>
      <w:tr w:rsidR="00B30265" w14:paraId="6AA2564E" w14:textId="77777777" w:rsidTr="00356D0C">
        <w:tc>
          <w:tcPr>
            <w:tcW w:w="2538" w:type="dxa"/>
          </w:tcPr>
          <w:p w14:paraId="412F0C62" w14:textId="77777777" w:rsidR="00B30265" w:rsidRDefault="00B30265" w:rsidP="00356D0C"/>
        </w:tc>
        <w:tc>
          <w:tcPr>
            <w:tcW w:w="6300" w:type="dxa"/>
          </w:tcPr>
          <w:p w14:paraId="44FAF553" w14:textId="77777777" w:rsidR="00B30265" w:rsidRDefault="00B30265" w:rsidP="00356D0C"/>
        </w:tc>
      </w:tr>
      <w:tr w:rsidR="0090395A" w14:paraId="4C313049" w14:textId="77777777" w:rsidTr="00356D0C">
        <w:tc>
          <w:tcPr>
            <w:tcW w:w="2538" w:type="dxa"/>
          </w:tcPr>
          <w:p w14:paraId="790A9113" w14:textId="6843527E" w:rsidR="0090395A" w:rsidRDefault="00B30265" w:rsidP="00356D0C">
            <w:r>
              <w:t>Formal Review</w:t>
            </w:r>
          </w:p>
        </w:tc>
        <w:tc>
          <w:tcPr>
            <w:tcW w:w="6300" w:type="dxa"/>
          </w:tcPr>
          <w:p w14:paraId="256C70D4" w14:textId="16D972A8" w:rsidR="0090395A" w:rsidRDefault="00B30265" w:rsidP="00356D0C">
            <w:r>
              <w:t xml:space="preserve">A review </w:t>
            </w:r>
            <w:r w:rsidRPr="0053006A">
              <w:rPr>
                <w:rFonts w:eastAsia="Times New Roman"/>
                <w:bCs/>
              </w:rPr>
              <w:t xml:space="preserve">conducted </w:t>
            </w:r>
            <w:r w:rsidR="006F6DAE">
              <w:rPr>
                <w:rFonts w:eastAsia="Times New Roman"/>
                <w:bCs/>
              </w:rPr>
              <w:t>under this policy</w:t>
            </w:r>
            <w:r w:rsidR="006F6DAE" w:rsidRPr="0053006A">
              <w:rPr>
                <w:rFonts w:eastAsia="Times New Roman"/>
                <w:bCs/>
              </w:rPr>
              <w:t xml:space="preserve"> </w:t>
            </w:r>
            <w:r w:rsidR="006C04CB">
              <w:rPr>
                <w:rFonts w:eastAsia="Times New Roman"/>
                <w:bCs/>
              </w:rPr>
              <w:t>based on</w:t>
            </w:r>
            <w:r w:rsidRPr="0053006A">
              <w:rPr>
                <w:rFonts w:eastAsia="Times New Roman"/>
                <w:bCs/>
              </w:rPr>
              <w:t xml:space="preserve"> alleged significant procedural irregularities in the </w:t>
            </w:r>
            <w:r w:rsidR="006C04CB">
              <w:rPr>
                <w:rFonts w:eastAsia="Times New Roman"/>
                <w:bCs/>
              </w:rPr>
              <w:t xml:space="preserve">examination and </w:t>
            </w:r>
            <w:r w:rsidRPr="0053006A">
              <w:rPr>
                <w:rFonts w:eastAsia="Times New Roman"/>
                <w:bCs/>
              </w:rPr>
              <w:t>assessment</w:t>
            </w:r>
            <w:r w:rsidR="006C04CB">
              <w:rPr>
                <w:rFonts w:eastAsia="Times New Roman"/>
                <w:bCs/>
              </w:rPr>
              <w:t xml:space="preserve"> </w:t>
            </w:r>
            <w:r w:rsidRPr="0053006A">
              <w:rPr>
                <w:rFonts w:eastAsia="Times New Roman"/>
                <w:bCs/>
              </w:rPr>
              <w:t>process</w:t>
            </w:r>
            <w:r w:rsidR="006C04CB">
              <w:rPr>
                <w:rFonts w:eastAsia="Times New Roman"/>
                <w:bCs/>
              </w:rPr>
              <w:t xml:space="preserve">. </w:t>
            </w:r>
          </w:p>
        </w:tc>
      </w:tr>
      <w:tr w:rsidR="00B30265" w14:paraId="6D622F51" w14:textId="77777777" w:rsidTr="00356D0C">
        <w:tc>
          <w:tcPr>
            <w:tcW w:w="2538" w:type="dxa"/>
          </w:tcPr>
          <w:p w14:paraId="27E2D73E" w14:textId="77777777" w:rsidR="00B30265" w:rsidRDefault="00B30265" w:rsidP="00356D0C"/>
        </w:tc>
        <w:tc>
          <w:tcPr>
            <w:tcW w:w="6300" w:type="dxa"/>
          </w:tcPr>
          <w:p w14:paraId="44683912" w14:textId="77777777" w:rsidR="00B30265" w:rsidRDefault="00B30265" w:rsidP="00356D0C"/>
        </w:tc>
      </w:tr>
      <w:tr w:rsidR="009C389B" w14:paraId="3DF35B6B" w14:textId="77777777" w:rsidTr="00356D0C">
        <w:tc>
          <w:tcPr>
            <w:tcW w:w="2538" w:type="dxa"/>
          </w:tcPr>
          <w:p w14:paraId="61A3C2CC" w14:textId="61823F36" w:rsidR="009C389B" w:rsidRDefault="009C389B" w:rsidP="00356D0C">
            <w:r>
              <w:t>Procedural Irregularity</w:t>
            </w:r>
          </w:p>
        </w:tc>
        <w:tc>
          <w:tcPr>
            <w:tcW w:w="6300" w:type="dxa"/>
          </w:tcPr>
          <w:p w14:paraId="627502A5" w14:textId="6E14790B" w:rsidR="009C389B" w:rsidRDefault="006F6DAE" w:rsidP="00356D0C">
            <w:r>
              <w:rPr>
                <w:rFonts w:eastAsia="Times New Roman"/>
              </w:rPr>
              <w:t>An irregularity in the conduct of the</w:t>
            </w:r>
            <w:r w:rsidR="009C389B">
              <w:rPr>
                <w:rFonts w:eastAsia="Times New Roman"/>
              </w:rPr>
              <w:t xml:space="preserve"> examination</w:t>
            </w:r>
            <w:r>
              <w:rPr>
                <w:rFonts w:eastAsia="Times New Roman"/>
              </w:rPr>
              <w:t xml:space="preserve"> process</w:t>
            </w:r>
            <w:r w:rsidR="009C389B">
              <w:rPr>
                <w:rFonts w:eastAsia="Times New Roman"/>
              </w:rPr>
              <w:t>.</w:t>
            </w:r>
          </w:p>
        </w:tc>
      </w:tr>
      <w:tr w:rsidR="0090395A" w14:paraId="59A00B26" w14:textId="77777777" w:rsidTr="00356D0C">
        <w:tc>
          <w:tcPr>
            <w:tcW w:w="2538" w:type="dxa"/>
          </w:tcPr>
          <w:p w14:paraId="16162E00" w14:textId="35C2A246" w:rsidR="0090395A" w:rsidRDefault="0090395A" w:rsidP="00356D0C"/>
        </w:tc>
        <w:tc>
          <w:tcPr>
            <w:tcW w:w="6300" w:type="dxa"/>
          </w:tcPr>
          <w:p w14:paraId="6BEF626E" w14:textId="5CC968B4" w:rsidR="0090395A" w:rsidRDefault="0090395A" w:rsidP="00356D0C"/>
        </w:tc>
      </w:tr>
      <w:tr w:rsidR="001E56E7" w14:paraId="7F6A6CC3" w14:textId="77777777" w:rsidTr="00356D0C">
        <w:tc>
          <w:tcPr>
            <w:tcW w:w="2538" w:type="dxa"/>
          </w:tcPr>
          <w:p w14:paraId="6BD88DF0" w14:textId="130147A8" w:rsidR="001E56E7" w:rsidRPr="00507B7F" w:rsidRDefault="00445650" w:rsidP="007B0547">
            <w:r>
              <w:t>Formal Review Panel</w:t>
            </w:r>
          </w:p>
        </w:tc>
        <w:tc>
          <w:tcPr>
            <w:tcW w:w="6300" w:type="dxa"/>
          </w:tcPr>
          <w:p w14:paraId="6DCA27EC" w14:textId="59CF4AA8" w:rsidR="001E56E7" w:rsidRDefault="003921EF" w:rsidP="007B0547">
            <w:r>
              <w:t>A panel consisting of</w:t>
            </w:r>
            <w:r w:rsidR="006F6DAE">
              <w:t xml:space="preserve"> three</w:t>
            </w:r>
            <w:r>
              <w:t xml:space="preserve"> Royal College Fellows who are members of the Royal College Assessment and</w:t>
            </w:r>
            <w:r w:rsidR="002352F6">
              <w:t>/or</w:t>
            </w:r>
            <w:r>
              <w:t xml:space="preserve"> Examination Committees</w:t>
            </w:r>
            <w:r w:rsidR="002352F6">
              <w:t xml:space="preserve"> constituted under this policy</w:t>
            </w:r>
            <w:r>
              <w:t>.</w:t>
            </w:r>
          </w:p>
        </w:tc>
      </w:tr>
      <w:tr w:rsidR="0090395A" w14:paraId="4240E5CF" w14:textId="77777777" w:rsidTr="00356D0C">
        <w:tc>
          <w:tcPr>
            <w:tcW w:w="2538" w:type="dxa"/>
          </w:tcPr>
          <w:p w14:paraId="30DB6190" w14:textId="48EB7E55" w:rsidR="0090395A" w:rsidRDefault="0090395A" w:rsidP="00356D0C"/>
        </w:tc>
        <w:tc>
          <w:tcPr>
            <w:tcW w:w="6300" w:type="dxa"/>
          </w:tcPr>
          <w:p w14:paraId="6B3A9A5E" w14:textId="2291A81F" w:rsidR="0090395A" w:rsidRDefault="0090395A" w:rsidP="00356D0C"/>
        </w:tc>
      </w:tr>
      <w:tr w:rsidR="003921EF" w14:paraId="3796E108" w14:textId="77777777" w:rsidTr="00356D0C">
        <w:tc>
          <w:tcPr>
            <w:tcW w:w="2538" w:type="dxa"/>
          </w:tcPr>
          <w:p w14:paraId="22D4130D" w14:textId="7921D568" w:rsidR="003921EF" w:rsidRDefault="003921EF" w:rsidP="00356D0C">
            <w:r>
              <w:lastRenderedPageBreak/>
              <w:t>Paper Review</w:t>
            </w:r>
          </w:p>
        </w:tc>
        <w:tc>
          <w:tcPr>
            <w:tcW w:w="6300" w:type="dxa"/>
          </w:tcPr>
          <w:p w14:paraId="3CEBA7F3" w14:textId="40CBBB61" w:rsidR="003921EF" w:rsidRDefault="00A95923" w:rsidP="00356D0C">
            <w:r>
              <w:t>A review by a Formal Review Panel of the written submissions and</w:t>
            </w:r>
            <w:r w:rsidR="007C40F1">
              <w:t xml:space="preserve"> all materials, documents and evidence submitted by the parties. </w:t>
            </w:r>
          </w:p>
        </w:tc>
      </w:tr>
      <w:tr w:rsidR="001F52C0" w14:paraId="0EEFAEBD" w14:textId="77777777" w:rsidTr="00356D0C">
        <w:tc>
          <w:tcPr>
            <w:tcW w:w="2538" w:type="dxa"/>
          </w:tcPr>
          <w:p w14:paraId="696FF24D" w14:textId="77777777" w:rsidR="001F52C0" w:rsidRDefault="001F52C0" w:rsidP="00356D0C"/>
        </w:tc>
        <w:tc>
          <w:tcPr>
            <w:tcW w:w="6300" w:type="dxa"/>
          </w:tcPr>
          <w:p w14:paraId="06AF5229" w14:textId="77777777" w:rsidR="001F52C0" w:rsidRDefault="001F52C0" w:rsidP="00356D0C"/>
        </w:tc>
      </w:tr>
      <w:tr w:rsidR="001F52C0" w14:paraId="51EE2A84" w14:textId="77777777" w:rsidTr="00356D0C">
        <w:tc>
          <w:tcPr>
            <w:tcW w:w="2538" w:type="dxa"/>
          </w:tcPr>
          <w:p w14:paraId="403250EA" w14:textId="7FD7EF25" w:rsidR="001F52C0" w:rsidRDefault="001F52C0" w:rsidP="00356D0C">
            <w:r>
              <w:t>Oral Hearing</w:t>
            </w:r>
          </w:p>
        </w:tc>
        <w:tc>
          <w:tcPr>
            <w:tcW w:w="6300" w:type="dxa"/>
          </w:tcPr>
          <w:p w14:paraId="6556E724" w14:textId="5474527C" w:rsidR="001F52C0" w:rsidRDefault="00777391" w:rsidP="00356D0C">
            <w:r>
              <w:t xml:space="preserve">A hearing </w:t>
            </w:r>
            <w:r w:rsidR="006F6DAE">
              <w:t xml:space="preserve">before </w:t>
            </w:r>
            <w:r>
              <w:t>the Formal Review Panel. The candidate</w:t>
            </w:r>
            <w:r w:rsidR="006F6DAE">
              <w:t xml:space="preserve"> and the Royal College</w:t>
            </w:r>
            <w:r>
              <w:t xml:space="preserve"> may appear in person or be represented by counsel, or both, and the hearing may be conducted in person or by electronic means (telephone conference, video conference, etc.).</w:t>
            </w:r>
          </w:p>
        </w:tc>
      </w:tr>
    </w:tbl>
    <w:p w14:paraId="4EBD1223" w14:textId="6E421EBA" w:rsidR="0090395A" w:rsidRDefault="0090395A" w:rsidP="003921EF">
      <w:pPr>
        <w:rPr>
          <w:rFonts w:ascii="Arial" w:hAnsi="Arial" w:cs="Arial"/>
          <w:szCs w:val="20"/>
        </w:rPr>
      </w:pPr>
    </w:p>
    <w:p w14:paraId="466D9DAF" w14:textId="2D102660" w:rsidR="0090395A" w:rsidRDefault="0090395A" w:rsidP="0090395A">
      <w:pPr>
        <w:pStyle w:val="Heading3"/>
        <w:numPr>
          <w:ilvl w:val="0"/>
          <w:numId w:val="14"/>
        </w:numPr>
        <w:spacing w:before="200" w:line="259" w:lineRule="auto"/>
      </w:pPr>
      <w:r w:rsidRPr="00BE5D90">
        <w:t>Policy</w:t>
      </w:r>
    </w:p>
    <w:p w14:paraId="0D22267C" w14:textId="2338A81E" w:rsidR="00D07FB1" w:rsidRDefault="00437CA1" w:rsidP="002D05EE">
      <w:pPr>
        <w:widowControl w:val="0"/>
        <w:spacing w:after="0"/>
        <w:ind w:left="720" w:hanging="720"/>
        <w:rPr>
          <w:rFonts w:eastAsia="Times New Roman"/>
        </w:rPr>
      </w:pPr>
      <w:r w:rsidRPr="00235853">
        <w:t>3.1</w:t>
      </w:r>
      <w:r>
        <w:rPr>
          <w:b/>
          <w:bCs/>
        </w:rPr>
        <w:t xml:space="preserve"> </w:t>
      </w:r>
      <w:r w:rsidR="003873A2">
        <w:rPr>
          <w:b/>
          <w:bCs/>
        </w:rPr>
        <w:tab/>
      </w:r>
      <w:r w:rsidR="00D07FB1" w:rsidRPr="0053006A">
        <w:rPr>
          <w:rFonts w:eastAsia="Times New Roman"/>
          <w:bCs/>
        </w:rPr>
        <w:t>Formal reviews of examinations are conducted only based on alleged significant procedural irregularities in the assessment process, not because of alleged errors in content.</w:t>
      </w:r>
      <w:r w:rsidR="00D07FB1" w:rsidRPr="00B04859">
        <w:rPr>
          <w:rFonts w:eastAsia="Times New Roman"/>
        </w:rPr>
        <w:t xml:space="preserve"> The exclusion of errors in content applies to allegations of errors in either the questions and structure of the examination, or the evaluation and content of the responses provided by the candidate. </w:t>
      </w:r>
    </w:p>
    <w:p w14:paraId="570D1F01" w14:textId="77777777" w:rsidR="00A95923" w:rsidRDefault="00A95923" w:rsidP="002D05EE">
      <w:pPr>
        <w:widowControl w:val="0"/>
        <w:spacing w:after="0"/>
        <w:ind w:left="720" w:hanging="720"/>
        <w:rPr>
          <w:rFonts w:eastAsia="Times New Roman"/>
        </w:rPr>
      </w:pPr>
    </w:p>
    <w:p w14:paraId="722B1758" w14:textId="6451833A" w:rsidR="00D07FB1" w:rsidRDefault="00A95923" w:rsidP="00A95923">
      <w:pPr>
        <w:widowControl w:val="0"/>
        <w:spacing w:after="0"/>
        <w:ind w:left="720" w:hanging="720"/>
        <w:rPr>
          <w:rFonts w:eastAsia="Times New Roman"/>
        </w:rPr>
      </w:pPr>
      <w:r>
        <w:rPr>
          <w:rFonts w:eastAsia="Times New Roman"/>
        </w:rPr>
        <w:t>3.2</w:t>
      </w:r>
      <w:r>
        <w:rPr>
          <w:rFonts w:eastAsia="Times New Roman"/>
        </w:rPr>
        <w:tab/>
      </w:r>
      <w:r w:rsidR="00D07FB1" w:rsidRPr="00B04859">
        <w:rPr>
          <w:rFonts w:eastAsia="Times New Roman"/>
        </w:rPr>
        <w:t>The review process is not a re-grading or re-scoring exercise.  This scope of review is designed to act as a safeguard for the validity of the examination and assessment process.</w:t>
      </w:r>
    </w:p>
    <w:p w14:paraId="2D6473BB" w14:textId="77777777" w:rsidR="00A95923" w:rsidRPr="00B04859" w:rsidRDefault="00A95923" w:rsidP="00235853">
      <w:pPr>
        <w:widowControl w:val="0"/>
        <w:spacing w:after="0"/>
        <w:ind w:left="720" w:hanging="720"/>
        <w:rPr>
          <w:rFonts w:eastAsia="Times New Roman"/>
        </w:rPr>
      </w:pPr>
    </w:p>
    <w:p w14:paraId="7A2B82ED" w14:textId="3C7FCFF5" w:rsidR="00D07FB1" w:rsidRPr="00B04859" w:rsidRDefault="00386CDA" w:rsidP="00386CDA">
      <w:pPr>
        <w:widowControl w:val="0"/>
        <w:spacing w:after="0"/>
        <w:ind w:left="720" w:hanging="720"/>
        <w:rPr>
          <w:rFonts w:eastAsia="Times New Roman"/>
        </w:rPr>
      </w:pPr>
      <w:r>
        <w:rPr>
          <w:rFonts w:eastAsia="Times New Roman"/>
        </w:rPr>
        <w:t>3.</w:t>
      </w:r>
      <w:r w:rsidR="00A95923">
        <w:rPr>
          <w:rFonts w:eastAsia="Times New Roman"/>
        </w:rPr>
        <w:t>3</w:t>
      </w:r>
      <w:r w:rsidR="00A95923">
        <w:rPr>
          <w:rFonts w:eastAsia="Times New Roman"/>
        </w:rPr>
        <w:tab/>
      </w:r>
      <w:r w:rsidR="00D07FB1" w:rsidRPr="00B04859">
        <w:rPr>
          <w:rFonts w:eastAsia="Times New Roman"/>
        </w:rPr>
        <w:t xml:space="preserve">The distinction between content reviews and process reviews is of the utmost importance.  Requests for reviews based on alleged errors in content will not be processed. </w:t>
      </w:r>
      <w:r w:rsidR="00D07FB1" w:rsidRPr="0053006A">
        <w:rPr>
          <w:rFonts w:eastAsia="Times New Roman"/>
        </w:rPr>
        <w:t xml:space="preserve"> A request for a formal review will only be considered in the event of a procedural irregularity serious enough to affect materially the candidate's performance.</w:t>
      </w:r>
    </w:p>
    <w:p w14:paraId="724AB6F4" w14:textId="77777777" w:rsidR="00D07FB1" w:rsidRPr="00B04859" w:rsidRDefault="00D07FB1" w:rsidP="00D07FB1">
      <w:pPr>
        <w:widowControl w:val="0"/>
        <w:spacing w:after="0"/>
        <w:rPr>
          <w:rFonts w:eastAsia="Times New Roman"/>
        </w:rPr>
      </w:pPr>
    </w:p>
    <w:p w14:paraId="3759AE65" w14:textId="77777777" w:rsidR="00D07FB1" w:rsidRPr="00B04859" w:rsidRDefault="00D07FB1" w:rsidP="00386CDA">
      <w:pPr>
        <w:widowControl w:val="0"/>
        <w:spacing w:after="0"/>
        <w:ind w:firstLine="720"/>
        <w:rPr>
          <w:rFonts w:eastAsia="Times New Roman"/>
        </w:rPr>
      </w:pPr>
      <w:r w:rsidRPr="00B04859">
        <w:rPr>
          <w:rFonts w:eastAsia="Times New Roman"/>
        </w:rPr>
        <w:t>Examples of potential issues that do NOT constitute process irregularities include:</w:t>
      </w:r>
    </w:p>
    <w:p w14:paraId="068426FF" w14:textId="77777777" w:rsidR="00D07FB1" w:rsidRPr="00B04859" w:rsidRDefault="00D07FB1" w:rsidP="00D07FB1">
      <w:pPr>
        <w:widowControl w:val="0"/>
        <w:spacing w:after="0"/>
        <w:rPr>
          <w:rFonts w:eastAsia="Times New Roman"/>
        </w:rPr>
      </w:pPr>
    </w:p>
    <w:p w14:paraId="16D8B0FF" w14:textId="25985D2F" w:rsidR="00D07FB1" w:rsidRPr="00B04859" w:rsidRDefault="00D07FB1" w:rsidP="00D07FB1">
      <w:pPr>
        <w:widowControl w:val="0"/>
        <w:numPr>
          <w:ilvl w:val="0"/>
          <w:numId w:val="22"/>
        </w:numPr>
        <w:snapToGrid/>
        <w:spacing w:after="0"/>
        <w:jc w:val="both"/>
        <w:rPr>
          <w:rFonts w:eastAsia="Times New Roman"/>
        </w:rPr>
      </w:pPr>
      <w:r w:rsidRPr="00B04859">
        <w:rPr>
          <w:rFonts w:eastAsia="Times New Roman"/>
        </w:rPr>
        <w:t>Disagreements or concerns regarding the content and/or structure of the examination.</w:t>
      </w:r>
    </w:p>
    <w:p w14:paraId="120AEE7F" w14:textId="1AC9E175" w:rsidR="00D07FB1" w:rsidRPr="00B04859" w:rsidRDefault="00D07FB1" w:rsidP="00D07FB1">
      <w:pPr>
        <w:widowControl w:val="0"/>
        <w:numPr>
          <w:ilvl w:val="0"/>
          <w:numId w:val="22"/>
        </w:numPr>
        <w:snapToGrid/>
        <w:spacing w:after="0"/>
        <w:jc w:val="both"/>
        <w:rPr>
          <w:rFonts w:eastAsia="Times New Roman"/>
        </w:rPr>
      </w:pPr>
      <w:r w:rsidRPr="00B04859">
        <w:rPr>
          <w:rFonts w:eastAsia="Times New Roman"/>
        </w:rPr>
        <w:t>Disagreements or concerns regarding the grading of the examination.</w:t>
      </w:r>
    </w:p>
    <w:p w14:paraId="486C3908" w14:textId="4DDB03C5" w:rsidR="00D07FB1" w:rsidRPr="00B04859" w:rsidRDefault="00D07FB1" w:rsidP="00D07FB1">
      <w:pPr>
        <w:widowControl w:val="0"/>
        <w:numPr>
          <w:ilvl w:val="0"/>
          <w:numId w:val="22"/>
        </w:numPr>
        <w:snapToGrid/>
        <w:spacing w:after="0"/>
        <w:jc w:val="both"/>
        <w:rPr>
          <w:rFonts w:eastAsia="Times New Roman"/>
        </w:rPr>
      </w:pPr>
      <w:r w:rsidRPr="00B04859">
        <w:rPr>
          <w:rFonts w:eastAsia="Times New Roman"/>
        </w:rPr>
        <w:t>Concerns regarding the extent of post-examination feedback provided to candidates.</w:t>
      </w:r>
    </w:p>
    <w:p w14:paraId="7AD4B8E7" w14:textId="11BB319C" w:rsidR="00D07FB1" w:rsidRPr="00B04859" w:rsidRDefault="00D07FB1" w:rsidP="00D07FB1">
      <w:pPr>
        <w:widowControl w:val="0"/>
        <w:numPr>
          <w:ilvl w:val="0"/>
          <w:numId w:val="22"/>
        </w:numPr>
        <w:snapToGrid/>
        <w:spacing w:after="0"/>
        <w:jc w:val="both"/>
        <w:rPr>
          <w:rFonts w:eastAsia="Times New Roman"/>
        </w:rPr>
      </w:pPr>
      <w:r w:rsidRPr="00B04859">
        <w:rPr>
          <w:rFonts w:eastAsia="Times New Roman"/>
        </w:rPr>
        <w:t>Requests for disclosure of Royal College documentation and/or records.</w:t>
      </w:r>
    </w:p>
    <w:p w14:paraId="4DC65D52" w14:textId="0F74E405" w:rsidR="00D07FB1" w:rsidRPr="00B04859" w:rsidRDefault="00D07FB1" w:rsidP="00D07FB1">
      <w:pPr>
        <w:widowControl w:val="0"/>
        <w:numPr>
          <w:ilvl w:val="0"/>
          <w:numId w:val="22"/>
        </w:numPr>
        <w:snapToGrid/>
        <w:spacing w:after="0"/>
        <w:jc w:val="both"/>
        <w:rPr>
          <w:rFonts w:eastAsia="Times New Roman"/>
        </w:rPr>
      </w:pPr>
      <w:r w:rsidRPr="00B04859">
        <w:rPr>
          <w:rFonts w:eastAsia="Times New Roman"/>
        </w:rPr>
        <w:t>Mere fact of repeat examiners.</w:t>
      </w:r>
    </w:p>
    <w:p w14:paraId="4DF6DFBD" w14:textId="5273E934" w:rsidR="00D07FB1" w:rsidRPr="00B04859" w:rsidRDefault="00D07FB1" w:rsidP="00D07FB1">
      <w:pPr>
        <w:widowControl w:val="0"/>
        <w:numPr>
          <w:ilvl w:val="0"/>
          <w:numId w:val="22"/>
        </w:numPr>
        <w:snapToGrid/>
        <w:spacing w:after="0"/>
        <w:jc w:val="both"/>
        <w:rPr>
          <w:rFonts w:eastAsia="Times New Roman"/>
        </w:rPr>
      </w:pPr>
      <w:r w:rsidRPr="00B04859">
        <w:rPr>
          <w:rFonts w:eastAsia="Times New Roman"/>
        </w:rPr>
        <w:t>Requests for the Royal College to consider information not normally considered as part of the evaluation process, such as FITER</w:t>
      </w:r>
      <w:r w:rsidR="006F6DAE">
        <w:rPr>
          <w:rFonts w:eastAsia="Times New Roman"/>
        </w:rPr>
        <w:t>s</w:t>
      </w:r>
      <w:r w:rsidRPr="00B04859">
        <w:rPr>
          <w:rFonts w:eastAsia="Times New Roman"/>
        </w:rPr>
        <w:t xml:space="preserve"> (</w:t>
      </w:r>
      <w:r w:rsidR="006F6DAE">
        <w:rPr>
          <w:rFonts w:eastAsia="Times New Roman"/>
        </w:rPr>
        <w:t>Final In-Training Evaluation Reports</w:t>
      </w:r>
      <w:r w:rsidRPr="00B04859">
        <w:rPr>
          <w:rFonts w:eastAsia="Times New Roman"/>
        </w:rPr>
        <w:t>) and reference letters.</w:t>
      </w:r>
    </w:p>
    <w:p w14:paraId="13038530" w14:textId="112B6DF0" w:rsidR="00D07FB1" w:rsidRDefault="00D07FB1" w:rsidP="0090395A">
      <w:pPr>
        <w:spacing w:after="0"/>
      </w:pPr>
    </w:p>
    <w:p w14:paraId="1AF288D3" w14:textId="3AAEA766" w:rsidR="00A46E58" w:rsidRDefault="00386CDA" w:rsidP="00386CDA">
      <w:pPr>
        <w:widowControl w:val="0"/>
        <w:spacing w:after="0"/>
        <w:ind w:left="720" w:hanging="720"/>
        <w:rPr>
          <w:rFonts w:eastAsia="Times New Roman"/>
        </w:rPr>
      </w:pPr>
      <w:r>
        <w:rPr>
          <w:rFonts w:eastAsia="Times New Roman"/>
        </w:rPr>
        <w:t>3.</w:t>
      </w:r>
      <w:r w:rsidR="00A95923">
        <w:rPr>
          <w:rFonts w:eastAsia="Times New Roman"/>
        </w:rPr>
        <w:t>4</w:t>
      </w:r>
      <w:r>
        <w:rPr>
          <w:rFonts w:eastAsia="Times New Roman"/>
        </w:rPr>
        <w:tab/>
      </w:r>
      <w:r w:rsidR="008F2AA0">
        <w:rPr>
          <w:rFonts w:eastAsia="Times New Roman"/>
        </w:rPr>
        <w:t>P</w:t>
      </w:r>
      <w:r w:rsidR="00A46E58">
        <w:rPr>
          <w:rFonts w:eastAsia="Times New Roman"/>
        </w:rPr>
        <w:t>rinciples:</w:t>
      </w:r>
    </w:p>
    <w:p w14:paraId="220AA008" w14:textId="71143766" w:rsidR="00907044" w:rsidRDefault="00907044" w:rsidP="00907044">
      <w:pPr>
        <w:pStyle w:val="ListParagraph"/>
        <w:widowControl w:val="0"/>
        <w:numPr>
          <w:ilvl w:val="0"/>
          <w:numId w:val="36"/>
        </w:numPr>
        <w:spacing w:after="0"/>
        <w:rPr>
          <w:rFonts w:eastAsia="Times New Roman"/>
        </w:rPr>
      </w:pPr>
      <w:r>
        <w:rPr>
          <w:rFonts w:eastAsia="Times New Roman"/>
        </w:rPr>
        <w:t>Examiners in each specialty are authorities on content. The</w:t>
      </w:r>
      <w:r w:rsidR="00F573CD">
        <w:rPr>
          <w:rFonts w:eastAsia="Times New Roman"/>
        </w:rPr>
        <w:t>ir</w:t>
      </w:r>
      <w:r>
        <w:rPr>
          <w:rFonts w:eastAsia="Times New Roman"/>
        </w:rPr>
        <w:t xml:space="preserve"> judgment relative to the correctness of a candidate’s answers is not open to challenge, otherwise the review would become a conten</w:t>
      </w:r>
      <w:r w:rsidR="00F573CD">
        <w:rPr>
          <w:rFonts w:eastAsia="Times New Roman"/>
        </w:rPr>
        <w:t>t-oriented discussion between experts.</w:t>
      </w:r>
    </w:p>
    <w:p w14:paraId="2F9E471B" w14:textId="39F9C431" w:rsidR="00F573CD" w:rsidRDefault="00F573CD" w:rsidP="00907044">
      <w:pPr>
        <w:pStyle w:val="ListParagraph"/>
        <w:widowControl w:val="0"/>
        <w:numPr>
          <w:ilvl w:val="0"/>
          <w:numId w:val="36"/>
        </w:numPr>
        <w:spacing w:after="0"/>
        <w:rPr>
          <w:rFonts w:eastAsia="Times New Roman"/>
        </w:rPr>
      </w:pPr>
      <w:r>
        <w:rPr>
          <w:rFonts w:eastAsia="Times New Roman"/>
        </w:rPr>
        <w:t>An examiner’s decision with respect to the correctness or completeness of a response and their assessment of a candidate’s knowledge and/or skills is final. While a candidate may disagree with their decision, such disagreement does not constitute grounds for review.</w:t>
      </w:r>
    </w:p>
    <w:p w14:paraId="114E71B1" w14:textId="5D47AED2" w:rsidR="009D7174" w:rsidRPr="00907044" w:rsidRDefault="009D7174" w:rsidP="00907044">
      <w:pPr>
        <w:pStyle w:val="ListParagraph"/>
        <w:widowControl w:val="0"/>
        <w:numPr>
          <w:ilvl w:val="0"/>
          <w:numId w:val="36"/>
        </w:numPr>
        <w:spacing w:after="0"/>
        <w:rPr>
          <w:rFonts w:eastAsia="Times New Roman"/>
        </w:rPr>
      </w:pPr>
      <w:r w:rsidRPr="00907044">
        <w:rPr>
          <w:rFonts w:eastAsia="Times New Roman"/>
        </w:rPr>
        <w:t>On occasion, deviations from the stated format or conduct of the examination may be unavoidable and irregularities may occur that do not result in any unfairness or significantly affect the performance of the candidate.</w:t>
      </w:r>
    </w:p>
    <w:p w14:paraId="5482DA07" w14:textId="77777777" w:rsidR="006F6DAE" w:rsidRDefault="006F6DAE" w:rsidP="00386CDA">
      <w:pPr>
        <w:widowControl w:val="0"/>
        <w:spacing w:after="0"/>
        <w:ind w:left="720" w:hanging="720"/>
        <w:rPr>
          <w:rFonts w:eastAsia="Times New Roman"/>
        </w:rPr>
      </w:pPr>
    </w:p>
    <w:p w14:paraId="56DB4054" w14:textId="1F630847" w:rsidR="00A95923" w:rsidRPr="009D7174" w:rsidRDefault="00A95923" w:rsidP="00386CDA">
      <w:pPr>
        <w:widowControl w:val="0"/>
        <w:spacing w:after="0"/>
        <w:ind w:left="720" w:hanging="720"/>
        <w:rPr>
          <w:rFonts w:eastAsia="Times New Roman"/>
        </w:rPr>
      </w:pPr>
      <w:r>
        <w:rPr>
          <w:rFonts w:eastAsia="Times New Roman"/>
        </w:rPr>
        <w:t>3.5</w:t>
      </w:r>
      <w:r>
        <w:rPr>
          <w:rFonts w:eastAsia="Times New Roman"/>
        </w:rPr>
        <w:tab/>
        <w:t>Formal reviews will be initiated and conducted in accordance with the procedures set out in Appendix A.</w:t>
      </w:r>
    </w:p>
    <w:p w14:paraId="4A253AD2" w14:textId="5C04A332" w:rsidR="009D7174" w:rsidRDefault="009D7174" w:rsidP="0090395A">
      <w:pPr>
        <w:spacing w:after="0"/>
      </w:pPr>
    </w:p>
    <w:p w14:paraId="208F9F00" w14:textId="3C134AA7" w:rsidR="0090395A" w:rsidRDefault="0090395A" w:rsidP="00BC7CB3">
      <w:pPr>
        <w:pStyle w:val="Heading3"/>
        <w:numPr>
          <w:ilvl w:val="0"/>
          <w:numId w:val="14"/>
        </w:numPr>
        <w:spacing w:before="200" w:line="259" w:lineRule="auto"/>
      </w:pPr>
      <w:r>
        <w:t>Contact(s)</w:t>
      </w:r>
    </w:p>
    <w:p w14:paraId="40D37FB1" w14:textId="77777777" w:rsidR="0090395A" w:rsidRDefault="0090395A" w:rsidP="0090395A">
      <w:pPr>
        <w:snapToGrid/>
        <w:spacing w:line="276" w:lineRule="auto"/>
      </w:pPr>
      <w:r>
        <w:t>For information or clarification, please contact:</w:t>
      </w:r>
    </w:p>
    <w:p w14:paraId="398B7272" w14:textId="77777777" w:rsidR="00D83639" w:rsidRPr="00E17CB1" w:rsidRDefault="00D83639" w:rsidP="00D83639">
      <w:pPr>
        <w:spacing w:after="0"/>
      </w:pPr>
      <w:r w:rsidRPr="00E17CB1">
        <w:t>The Royal College of Physicians and Surgeons of Canada</w:t>
      </w:r>
    </w:p>
    <w:p w14:paraId="35B2501D" w14:textId="4D0DE145" w:rsidR="00D83639" w:rsidRPr="00E17CB1" w:rsidRDefault="00D83639" w:rsidP="00D83639">
      <w:pPr>
        <w:spacing w:after="0"/>
      </w:pPr>
      <w:r w:rsidRPr="00E17CB1">
        <w:t xml:space="preserve">Office of </w:t>
      </w:r>
      <w:r w:rsidR="00CC5804">
        <w:t>Standards and</w:t>
      </w:r>
      <w:r w:rsidRPr="00E17CB1">
        <w:t xml:space="preserve"> Assessment</w:t>
      </w:r>
    </w:p>
    <w:p w14:paraId="14B83411" w14:textId="77777777" w:rsidR="00D83639" w:rsidRPr="00E17CB1" w:rsidRDefault="00D83639" w:rsidP="00D83639">
      <w:pPr>
        <w:spacing w:after="0"/>
      </w:pPr>
      <w:r w:rsidRPr="00E17CB1">
        <w:t>774 Echo Drive</w:t>
      </w:r>
    </w:p>
    <w:p w14:paraId="79B2273F" w14:textId="77777777" w:rsidR="00D83639" w:rsidRPr="00E17CB1" w:rsidRDefault="00D83639" w:rsidP="00D83639">
      <w:pPr>
        <w:spacing w:after="0"/>
      </w:pPr>
      <w:r w:rsidRPr="00E17CB1">
        <w:t>Ottawa ON K1S 5N8</w:t>
      </w:r>
    </w:p>
    <w:p w14:paraId="42988922" w14:textId="77777777" w:rsidR="00D83639" w:rsidRPr="00E17CB1" w:rsidRDefault="00D83639" w:rsidP="00D83639">
      <w:pPr>
        <w:spacing w:after="0"/>
      </w:pPr>
      <w:r w:rsidRPr="00E17CB1">
        <w:t>Telephone (toll-free): 1-800-668-3740</w:t>
      </w:r>
    </w:p>
    <w:p w14:paraId="420E3C05" w14:textId="20A226A1" w:rsidR="000C6085" w:rsidRPr="00AB3A70" w:rsidRDefault="00860BA5" w:rsidP="00D83639">
      <w:pPr>
        <w:snapToGrid/>
        <w:spacing w:line="276" w:lineRule="auto"/>
      </w:pPr>
      <w:hyperlink r:id="rId11" w:history="1">
        <w:r w:rsidR="00F573CD" w:rsidRPr="00B92446">
          <w:rPr>
            <w:rStyle w:val="Hyperlink"/>
          </w:rPr>
          <w:t>Formalreviews@royalcollege.ca</w:t>
        </w:r>
      </w:hyperlink>
      <w:r w:rsidR="00F573CD">
        <w:t xml:space="preserve"> </w:t>
      </w:r>
    </w:p>
    <w:p w14:paraId="1D2F8538" w14:textId="77777777" w:rsidR="0090395A" w:rsidRDefault="0090395A" w:rsidP="00BC7CB3">
      <w:pPr>
        <w:pStyle w:val="Heading3"/>
        <w:numPr>
          <w:ilvl w:val="0"/>
          <w:numId w:val="14"/>
        </w:numPr>
        <w:spacing w:before="200" w:line="259" w:lineRule="auto"/>
      </w:pPr>
      <w:r>
        <w:t>Appendices</w:t>
      </w:r>
    </w:p>
    <w:p w14:paraId="4576C13C" w14:textId="171A236D" w:rsidR="00C54017" w:rsidRDefault="00A95923" w:rsidP="00C54017">
      <w:pPr>
        <w:spacing w:after="0"/>
      </w:pPr>
      <w:r>
        <w:t>Appendix A:  Formal Review Procedures</w:t>
      </w:r>
    </w:p>
    <w:p w14:paraId="3F0BE169" w14:textId="77777777" w:rsidR="00C54017" w:rsidRDefault="00C54017" w:rsidP="009954A5"/>
    <w:p w14:paraId="73B73301" w14:textId="77777777" w:rsidR="00CE200B" w:rsidRDefault="00CE200B" w:rsidP="00BC7CB3">
      <w:pPr>
        <w:pStyle w:val="Heading3"/>
        <w:numPr>
          <w:ilvl w:val="0"/>
          <w:numId w:val="14"/>
        </w:numPr>
        <w:spacing w:before="200" w:line="259" w:lineRule="auto"/>
      </w:pPr>
      <w:r>
        <w:t>Policy record</w:t>
      </w:r>
    </w:p>
    <w:tbl>
      <w:tblPr>
        <w:tblStyle w:val="LightList-Accent1"/>
        <w:tblW w:w="0" w:type="auto"/>
        <w:tblInd w:w="108" w:type="dxa"/>
        <w:tblLook w:val="0480" w:firstRow="0" w:lastRow="0" w:firstColumn="1" w:lastColumn="0" w:noHBand="0" w:noVBand="1"/>
      </w:tblPr>
      <w:tblGrid>
        <w:gridCol w:w="3482"/>
        <w:gridCol w:w="5176"/>
      </w:tblGrid>
      <w:tr w:rsidR="00CE200B" w14:paraId="2CB3EBA0" w14:textId="77777777" w:rsidTr="0042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29D04887" w14:textId="77777777" w:rsidR="00CE200B" w:rsidRPr="00CE200B" w:rsidRDefault="00CE200B" w:rsidP="00F85712">
            <w:pPr>
              <w:rPr>
                <w:b w:val="0"/>
              </w:rPr>
            </w:pPr>
            <w:r w:rsidRPr="00CE200B">
              <w:rPr>
                <w:b w:val="0"/>
              </w:rPr>
              <w:t>Approved by:</w:t>
            </w:r>
          </w:p>
        </w:tc>
        <w:tc>
          <w:tcPr>
            <w:tcW w:w="5176" w:type="dxa"/>
            <w:tcBorders>
              <w:left w:val="single" w:sz="8" w:space="0" w:color="007680" w:themeColor="accent1"/>
            </w:tcBorders>
          </w:tcPr>
          <w:p w14:paraId="367B2129" w14:textId="09D4EEAB" w:rsidR="00CE200B" w:rsidRDefault="005C7014" w:rsidP="00F85712">
            <w:pPr>
              <w:cnfStyle w:val="000000100000" w:firstRow="0" w:lastRow="0" w:firstColumn="0" w:lastColumn="0" w:oddVBand="0" w:evenVBand="0" w:oddHBand="1" w:evenHBand="0" w:firstRowFirstColumn="0" w:firstRowLastColumn="0" w:lastRowFirstColumn="0" w:lastRowLastColumn="0"/>
            </w:pPr>
            <w:r>
              <w:t>Assessment Committee</w:t>
            </w:r>
            <w:r w:rsidR="00557D58">
              <w:t xml:space="preserve"> &amp; Committee on Specialty Education</w:t>
            </w:r>
          </w:p>
        </w:tc>
      </w:tr>
      <w:tr w:rsidR="00CE200B" w14:paraId="5938AAAD" w14:textId="77777777" w:rsidTr="00422049">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0D6328C7" w14:textId="116EB912" w:rsidR="00CE200B" w:rsidRPr="00CE200B" w:rsidRDefault="00422049" w:rsidP="00F85712">
            <w:pPr>
              <w:rPr>
                <w:b w:val="0"/>
              </w:rPr>
            </w:pPr>
            <w:r>
              <w:rPr>
                <w:b w:val="0"/>
              </w:rPr>
              <w:t>Original a</w:t>
            </w:r>
            <w:r w:rsidR="00CE200B" w:rsidRPr="00CE200B">
              <w:rPr>
                <w:b w:val="0"/>
              </w:rPr>
              <w:t xml:space="preserve">pproval </w:t>
            </w:r>
            <w:r>
              <w:rPr>
                <w:b w:val="0"/>
              </w:rPr>
              <w:t>d</w:t>
            </w:r>
            <w:r w:rsidR="00CE200B" w:rsidRPr="00CE200B">
              <w:rPr>
                <w:b w:val="0"/>
              </w:rPr>
              <w:t xml:space="preserve">ate: </w:t>
            </w:r>
          </w:p>
        </w:tc>
        <w:tc>
          <w:tcPr>
            <w:tcW w:w="5176" w:type="dxa"/>
            <w:tcBorders>
              <w:left w:val="single" w:sz="8" w:space="0" w:color="007680" w:themeColor="accent1"/>
            </w:tcBorders>
          </w:tcPr>
          <w:p w14:paraId="302010FE" w14:textId="79BD78ED" w:rsidR="00CE200B" w:rsidRDefault="005C7014" w:rsidP="00F85712">
            <w:pPr>
              <w:cnfStyle w:val="000000000000" w:firstRow="0" w:lastRow="0" w:firstColumn="0" w:lastColumn="0" w:oddVBand="0" w:evenVBand="0" w:oddHBand="0" w:evenHBand="0" w:firstRowFirstColumn="0" w:firstRowLastColumn="0" w:lastRowFirstColumn="0" w:lastRowLastColumn="0"/>
            </w:pPr>
            <w:r>
              <w:t>November 2017</w:t>
            </w:r>
          </w:p>
        </w:tc>
      </w:tr>
      <w:tr w:rsidR="00CE200B" w14:paraId="002DFC7A" w14:textId="77777777" w:rsidTr="0042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6DF896D8" w14:textId="77777777" w:rsidR="00CE200B" w:rsidRPr="00CE200B" w:rsidRDefault="00CE200B" w:rsidP="00F85712">
            <w:pPr>
              <w:rPr>
                <w:b w:val="0"/>
              </w:rPr>
            </w:pPr>
            <w:r w:rsidRPr="00CE200B">
              <w:rPr>
                <w:b w:val="0"/>
              </w:rPr>
              <w:t>Approval path:</w:t>
            </w:r>
          </w:p>
        </w:tc>
        <w:tc>
          <w:tcPr>
            <w:tcW w:w="5176" w:type="dxa"/>
            <w:tcBorders>
              <w:left w:val="single" w:sz="8" w:space="0" w:color="007680" w:themeColor="accent1"/>
            </w:tcBorders>
          </w:tcPr>
          <w:p w14:paraId="74BFE12A" w14:textId="2A07897C" w:rsidR="00CE200B" w:rsidRDefault="005C7014" w:rsidP="00F85712">
            <w:pPr>
              <w:cnfStyle w:val="000000100000" w:firstRow="0" w:lastRow="0" w:firstColumn="0" w:lastColumn="0" w:oddVBand="0" w:evenVBand="0" w:oddHBand="1" w:evenHBand="0" w:firstRowFirstColumn="0" w:firstRowLastColumn="0" w:lastRowFirstColumn="0" w:lastRowLastColumn="0"/>
            </w:pPr>
            <w:r>
              <w:t>Assessment Committee</w:t>
            </w:r>
            <w:r w:rsidR="00557D58">
              <w:t xml:space="preserve"> &amp; Committee on Specialty Education</w:t>
            </w:r>
          </w:p>
        </w:tc>
      </w:tr>
      <w:tr w:rsidR="00CE200B" w14:paraId="2D85EDBE" w14:textId="77777777" w:rsidTr="00422049">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7F3B7D4D" w14:textId="77777777" w:rsidR="00CE200B" w:rsidRPr="00CE200B" w:rsidRDefault="00CE200B" w:rsidP="00F85712">
            <w:pPr>
              <w:rPr>
                <w:b w:val="0"/>
              </w:rPr>
            </w:pPr>
            <w:r w:rsidRPr="00CE200B">
              <w:rPr>
                <w:b w:val="0"/>
              </w:rPr>
              <w:t>Effective date:</w:t>
            </w:r>
          </w:p>
        </w:tc>
        <w:tc>
          <w:tcPr>
            <w:tcW w:w="5176" w:type="dxa"/>
            <w:tcBorders>
              <w:left w:val="single" w:sz="8" w:space="0" w:color="007680" w:themeColor="accent1"/>
            </w:tcBorders>
          </w:tcPr>
          <w:p w14:paraId="284300E4" w14:textId="1138832F" w:rsidR="00CE200B" w:rsidRDefault="005C7014" w:rsidP="00F85712">
            <w:pPr>
              <w:cnfStyle w:val="000000000000" w:firstRow="0" w:lastRow="0" w:firstColumn="0" w:lastColumn="0" w:oddVBand="0" w:evenVBand="0" w:oddHBand="0" w:evenHBand="0" w:firstRowFirstColumn="0" w:firstRowLastColumn="0" w:lastRowFirstColumn="0" w:lastRowLastColumn="0"/>
            </w:pPr>
            <w:r>
              <w:t>November 2017</w:t>
            </w:r>
          </w:p>
        </w:tc>
      </w:tr>
      <w:tr w:rsidR="00422049" w14:paraId="7ACEB590" w14:textId="77777777" w:rsidTr="0042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1F9E1757" w14:textId="1CDBFCCA" w:rsidR="00422049" w:rsidRPr="00422049" w:rsidRDefault="00422049" w:rsidP="00F85712">
            <w:pPr>
              <w:rPr>
                <w:b w:val="0"/>
                <w:bCs w:val="0"/>
              </w:rPr>
            </w:pPr>
            <w:r w:rsidRPr="00422049">
              <w:rPr>
                <w:b w:val="0"/>
                <w:bCs w:val="0"/>
              </w:rPr>
              <w:t>Revised approval date:</w:t>
            </w:r>
          </w:p>
        </w:tc>
        <w:tc>
          <w:tcPr>
            <w:tcW w:w="5176" w:type="dxa"/>
            <w:tcBorders>
              <w:left w:val="single" w:sz="8" w:space="0" w:color="007680" w:themeColor="accent1"/>
            </w:tcBorders>
          </w:tcPr>
          <w:p w14:paraId="0EF226FF" w14:textId="3F491D6F" w:rsidR="00422049" w:rsidRPr="00422049" w:rsidRDefault="00860BA5" w:rsidP="00F85712">
            <w:pPr>
              <w:cnfStyle w:val="000000100000" w:firstRow="0" w:lastRow="0" w:firstColumn="0" w:lastColumn="0" w:oddVBand="0" w:evenVBand="0" w:oddHBand="1" w:evenHBand="0" w:firstRowFirstColumn="0" w:firstRowLastColumn="0" w:lastRowFirstColumn="0" w:lastRowLastColumn="0"/>
            </w:pPr>
            <w:r>
              <w:t>November</w:t>
            </w:r>
            <w:r w:rsidR="00557D58">
              <w:t xml:space="preserve"> 24, 2022</w:t>
            </w:r>
          </w:p>
        </w:tc>
      </w:tr>
      <w:tr w:rsidR="00CE200B" w14:paraId="592A0CE4" w14:textId="77777777" w:rsidTr="00422049">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05FE4D5F" w14:textId="77777777" w:rsidR="00CE200B" w:rsidRPr="00CE200B" w:rsidRDefault="00CE200B" w:rsidP="00F85712">
            <w:pPr>
              <w:rPr>
                <w:b w:val="0"/>
              </w:rPr>
            </w:pPr>
            <w:r w:rsidRPr="00CE200B">
              <w:rPr>
                <w:b w:val="0"/>
              </w:rPr>
              <w:t>Date of next review:</w:t>
            </w:r>
          </w:p>
        </w:tc>
        <w:tc>
          <w:tcPr>
            <w:tcW w:w="5176" w:type="dxa"/>
            <w:tcBorders>
              <w:left w:val="single" w:sz="8" w:space="0" w:color="007680" w:themeColor="accent1"/>
            </w:tcBorders>
          </w:tcPr>
          <w:p w14:paraId="07EAE399" w14:textId="232C9A0A" w:rsidR="00CE200B" w:rsidRDefault="00860BA5" w:rsidP="00F85712">
            <w:pPr>
              <w:cnfStyle w:val="000000000000" w:firstRow="0" w:lastRow="0" w:firstColumn="0" w:lastColumn="0" w:oddVBand="0" w:evenVBand="0" w:oddHBand="0" w:evenHBand="0" w:firstRowFirstColumn="0" w:firstRowLastColumn="0" w:lastRowFirstColumn="0" w:lastRowLastColumn="0"/>
            </w:pPr>
            <w:r>
              <w:t>November</w:t>
            </w:r>
            <w:r w:rsidR="00F573CD">
              <w:t xml:space="preserve"> 202</w:t>
            </w:r>
            <w:r w:rsidR="00557D58">
              <w:t>5</w:t>
            </w:r>
          </w:p>
        </w:tc>
      </w:tr>
      <w:tr w:rsidR="00CE200B" w14:paraId="13BDBDAF" w14:textId="77777777" w:rsidTr="0042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3D3D7C64" w14:textId="77777777" w:rsidR="00CE200B" w:rsidRPr="00CE200B" w:rsidRDefault="00CE200B" w:rsidP="00F85712">
            <w:pPr>
              <w:rPr>
                <w:b w:val="0"/>
              </w:rPr>
            </w:pPr>
            <w:r w:rsidRPr="00CE200B">
              <w:rPr>
                <w:b w:val="0"/>
              </w:rPr>
              <w:t>Royal College Office:</w:t>
            </w:r>
          </w:p>
        </w:tc>
        <w:tc>
          <w:tcPr>
            <w:tcW w:w="5176" w:type="dxa"/>
            <w:tcBorders>
              <w:left w:val="single" w:sz="8" w:space="0" w:color="007680" w:themeColor="accent1"/>
            </w:tcBorders>
          </w:tcPr>
          <w:p w14:paraId="7AD9E1F0" w14:textId="64F72C8D" w:rsidR="00CE200B" w:rsidRDefault="005C7014" w:rsidP="00F85712">
            <w:pPr>
              <w:cnfStyle w:val="000000100000" w:firstRow="0" w:lastRow="0" w:firstColumn="0" w:lastColumn="0" w:oddVBand="0" w:evenVBand="0" w:oddHBand="1" w:evenHBand="0" w:firstRowFirstColumn="0" w:firstRowLastColumn="0" w:lastRowFirstColumn="0" w:lastRowLastColumn="0"/>
            </w:pPr>
            <w:r>
              <w:t>TMCE, Assessment</w:t>
            </w:r>
          </w:p>
        </w:tc>
      </w:tr>
      <w:tr w:rsidR="00CE200B" w14:paraId="537924BC" w14:textId="77777777" w:rsidTr="00422049">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7122A209" w14:textId="77777777" w:rsidR="00CE200B" w:rsidRPr="00CE200B" w:rsidRDefault="00CE200B" w:rsidP="00F85712">
            <w:pPr>
              <w:rPr>
                <w:b w:val="0"/>
              </w:rPr>
            </w:pPr>
            <w:r w:rsidRPr="00CE200B">
              <w:rPr>
                <w:b w:val="0"/>
              </w:rPr>
              <w:t>Version status:</w:t>
            </w:r>
          </w:p>
        </w:tc>
        <w:tc>
          <w:tcPr>
            <w:tcW w:w="5176" w:type="dxa"/>
            <w:tcBorders>
              <w:left w:val="single" w:sz="8" w:space="0" w:color="007680" w:themeColor="accent1"/>
            </w:tcBorders>
          </w:tcPr>
          <w:p w14:paraId="58AF2DB4" w14:textId="065A4C74" w:rsidR="00CE200B" w:rsidRPr="00013B82" w:rsidRDefault="00EA3328" w:rsidP="00F85712">
            <w:pPr>
              <w:cnfStyle w:val="000000000000" w:firstRow="0" w:lastRow="0" w:firstColumn="0" w:lastColumn="0" w:oddVBand="0" w:evenVBand="0" w:oddHBand="0" w:evenHBand="0" w:firstRowFirstColumn="0" w:firstRowLastColumn="0" w:lastRowFirstColumn="0" w:lastRowLastColumn="0"/>
            </w:pPr>
            <w:r>
              <w:t>Approved</w:t>
            </w:r>
          </w:p>
        </w:tc>
      </w:tr>
      <w:tr w:rsidR="00CE200B" w14:paraId="10EADC7B" w14:textId="77777777" w:rsidTr="0042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69833209" w14:textId="77777777" w:rsidR="00CE200B" w:rsidRPr="00CE200B" w:rsidRDefault="00CE200B" w:rsidP="00F85712">
            <w:pPr>
              <w:rPr>
                <w:b w:val="0"/>
              </w:rPr>
            </w:pPr>
            <w:r w:rsidRPr="00CE200B">
              <w:rPr>
                <w:b w:val="0"/>
              </w:rPr>
              <w:t>Keywords:</w:t>
            </w:r>
          </w:p>
        </w:tc>
        <w:tc>
          <w:tcPr>
            <w:tcW w:w="5176" w:type="dxa"/>
            <w:tcBorders>
              <w:left w:val="single" w:sz="8" w:space="0" w:color="007680" w:themeColor="accent1"/>
            </w:tcBorders>
          </w:tcPr>
          <w:p w14:paraId="69237921" w14:textId="601EEEC6" w:rsidR="00CE200B" w:rsidRPr="00013B82" w:rsidRDefault="00422049" w:rsidP="00F85712">
            <w:pPr>
              <w:cnfStyle w:val="000000100000" w:firstRow="0" w:lastRow="0" w:firstColumn="0" w:lastColumn="0" w:oddVBand="0" w:evenVBand="0" w:oddHBand="1" w:evenHBand="0" w:firstRowFirstColumn="0" w:firstRowLastColumn="0" w:lastRowFirstColumn="0" w:lastRowLastColumn="0"/>
            </w:pPr>
            <w:r>
              <w:t>Formal review, procedural irregularity, formal review panel, paper review, oral hearing, repeat examination</w:t>
            </w:r>
          </w:p>
        </w:tc>
      </w:tr>
      <w:tr w:rsidR="00CE200B" w14:paraId="31243A90" w14:textId="77777777" w:rsidTr="00422049">
        <w:tc>
          <w:tcPr>
            <w:cnfStyle w:val="001000000000" w:firstRow="0" w:lastRow="0" w:firstColumn="1" w:lastColumn="0" w:oddVBand="0" w:evenVBand="0" w:oddHBand="0" w:evenHBand="0" w:firstRowFirstColumn="0" w:firstRowLastColumn="0" w:lastRowFirstColumn="0" w:lastRowLastColumn="0"/>
            <w:tcW w:w="3482" w:type="dxa"/>
            <w:tcBorders>
              <w:right w:val="single" w:sz="8" w:space="0" w:color="007680" w:themeColor="accent1"/>
            </w:tcBorders>
          </w:tcPr>
          <w:p w14:paraId="1D1906F8" w14:textId="05741A85" w:rsidR="00CE200B" w:rsidRPr="00CE200B" w:rsidRDefault="00CE200B" w:rsidP="00F85712">
            <w:pPr>
              <w:rPr>
                <w:b w:val="0"/>
              </w:rPr>
            </w:pPr>
            <w:r w:rsidRPr="00CE200B">
              <w:rPr>
                <w:b w:val="0"/>
              </w:rPr>
              <w:t>Information security</w:t>
            </w:r>
            <w:r w:rsidR="00422049">
              <w:rPr>
                <w:b w:val="0"/>
              </w:rPr>
              <w:t xml:space="preserve"> </w:t>
            </w:r>
            <w:r w:rsidRPr="00CE200B">
              <w:rPr>
                <w:b w:val="0"/>
              </w:rPr>
              <w:t>classification</w:t>
            </w:r>
          </w:p>
        </w:tc>
        <w:tc>
          <w:tcPr>
            <w:tcW w:w="5176" w:type="dxa"/>
            <w:tcBorders>
              <w:left w:val="single" w:sz="8" w:space="0" w:color="007680" w:themeColor="accent1"/>
            </w:tcBorders>
          </w:tcPr>
          <w:p w14:paraId="642D18FB" w14:textId="716838D1" w:rsidR="00CE200B" w:rsidRPr="00013B82" w:rsidRDefault="003458E0" w:rsidP="00F85712">
            <w:pPr>
              <w:cnfStyle w:val="000000000000" w:firstRow="0" w:lastRow="0" w:firstColumn="0" w:lastColumn="0" w:oddVBand="0" w:evenVBand="0" w:oddHBand="0" w:evenHBand="0" w:firstRowFirstColumn="0" w:firstRowLastColumn="0" w:lastRowFirstColumn="0" w:lastRowLastColumn="0"/>
            </w:pPr>
            <w:r>
              <w:t>Public</w:t>
            </w:r>
          </w:p>
        </w:tc>
      </w:tr>
    </w:tbl>
    <w:p w14:paraId="2BCA99C0" w14:textId="77777777" w:rsidR="00EA1E12" w:rsidRPr="00EA6B75" w:rsidRDefault="00EA1E12" w:rsidP="00D85261">
      <w:pPr>
        <w:spacing w:after="360"/>
      </w:pPr>
    </w:p>
    <w:sectPr w:rsidR="00EA1E12" w:rsidRPr="00EA6B75" w:rsidSect="0090395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CA03" w14:textId="77777777" w:rsidR="00262330" w:rsidRDefault="00262330" w:rsidP="0047098E">
      <w:pPr>
        <w:spacing w:after="0"/>
      </w:pPr>
      <w:r>
        <w:separator/>
      </w:r>
    </w:p>
  </w:endnote>
  <w:endnote w:type="continuationSeparator" w:id="0">
    <w:p w14:paraId="53D0CAE8" w14:textId="77777777" w:rsidR="00262330" w:rsidRDefault="00262330"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00000001" w:usb1="4000205B" w:usb2="00000028" w:usb3="00000000" w:csb0="0000019F" w:csb1="00000000"/>
  </w:font>
  <w:font w:name="Open Sans SemiBold">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roman"/>
    <w:notTrueType/>
    <w:pitch w:val="default"/>
  </w:font>
  <w:font w:name="Times New Roman (Headings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E13A" w14:textId="77777777" w:rsidR="007D0584" w:rsidRDefault="007D0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408864"/>
      <w:docPartObj>
        <w:docPartGallery w:val="Page Numbers (Bottom of Page)"/>
        <w:docPartUnique/>
      </w:docPartObj>
    </w:sdtPr>
    <w:sdtEndPr>
      <w:rPr>
        <w:b/>
        <w:noProof/>
        <w:sz w:val="18"/>
        <w:szCs w:val="18"/>
      </w:rPr>
    </w:sdtEndPr>
    <w:sdtContent>
      <w:p w14:paraId="228C70A2" w14:textId="77777777" w:rsidR="002802DD" w:rsidRPr="00813420" w:rsidRDefault="00CF104E">
        <w:pPr>
          <w:pStyle w:val="Footer"/>
          <w:jc w:val="center"/>
          <w:rPr>
            <w:b/>
            <w:sz w:val="18"/>
            <w:szCs w:val="18"/>
          </w:rPr>
        </w:pPr>
        <w:r w:rsidRPr="00CF104E">
          <w:rPr>
            <w:noProof/>
            <w:color w:val="7F7F7F" w:themeColor="text1" w:themeTint="80"/>
            <w:lang w:val="en-GB" w:eastAsia="en-GB"/>
          </w:rPr>
          <mc:AlternateContent>
            <mc:Choice Requires="wps">
              <w:drawing>
                <wp:anchor distT="0" distB="0" distL="114300" distR="114300" simplePos="0" relativeHeight="251659264" behindDoc="0" locked="0" layoutInCell="1" allowOverlap="1" wp14:anchorId="5FAFCD5C" wp14:editId="76662972">
                  <wp:simplePos x="0" y="0"/>
                  <wp:positionH relativeFrom="column">
                    <wp:posOffset>2768600</wp:posOffset>
                  </wp:positionH>
                  <wp:positionV relativeFrom="paragraph">
                    <wp:posOffset>196215</wp:posOffset>
                  </wp:positionV>
                  <wp:extent cx="412750" cy="47625"/>
                  <wp:effectExtent l="0" t="0" r="6350" b="9525"/>
                  <wp:wrapNone/>
                  <wp:docPr id="3" name="Rectangle 3"/>
                  <wp:cNvGraphicFramePr/>
                  <a:graphic xmlns:a="http://schemas.openxmlformats.org/drawingml/2006/main">
                    <a:graphicData uri="http://schemas.microsoft.com/office/word/2010/wordprocessingShape">
                      <wps:wsp>
                        <wps:cNvSpPr/>
                        <wps:spPr>
                          <a:xfrm>
                            <a:off x="0" y="0"/>
                            <a:ext cx="412750" cy="47625"/>
                          </a:xfrm>
                          <a:prstGeom prst="rect">
                            <a:avLst/>
                          </a:prstGeom>
                          <a:solidFill>
                            <a:srgbClr val="00A3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5E2CED72">
                <v:rect id="Rectangle 3" style="position:absolute;margin-left:218pt;margin-top:15.45pt;width:32.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a3ad" stroked="f" strokeweight="1pt" w14:anchorId="5B3FE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"/>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0D3EDF">
          <w:rPr>
            <w:b/>
            <w:noProof/>
            <w:sz w:val="18"/>
            <w:szCs w:val="18"/>
          </w:rPr>
          <w:t>2</w:t>
        </w:r>
        <w:r w:rsidR="002802DD" w:rsidRPr="00813420">
          <w:rPr>
            <w:b/>
            <w:noProof/>
            <w:sz w:val="18"/>
            <w:szCs w:val="18"/>
          </w:rPr>
          <w:fldChar w:fldCharType="end"/>
        </w:r>
        <w:r w:rsidR="0090395A">
          <w:rPr>
            <w:b/>
            <w:noProof/>
            <w:sz w:val="18"/>
            <w:szCs w:val="18"/>
          </w:rPr>
          <w:t xml:space="preserve"> of </w:t>
        </w:r>
        <w:r w:rsidR="0090395A">
          <w:rPr>
            <w:b/>
            <w:noProof/>
            <w:sz w:val="18"/>
            <w:szCs w:val="18"/>
          </w:rPr>
          <w:fldChar w:fldCharType="begin"/>
        </w:r>
        <w:r w:rsidR="0090395A">
          <w:rPr>
            <w:b/>
            <w:noProof/>
            <w:sz w:val="18"/>
            <w:szCs w:val="18"/>
          </w:rPr>
          <w:instrText xml:space="preserve"> NUMPAGES   \* MERGEFORMAT </w:instrText>
        </w:r>
        <w:r w:rsidR="0090395A">
          <w:rPr>
            <w:b/>
            <w:noProof/>
            <w:sz w:val="18"/>
            <w:szCs w:val="18"/>
          </w:rPr>
          <w:fldChar w:fldCharType="separate"/>
        </w:r>
        <w:r w:rsidR="000D3EDF">
          <w:rPr>
            <w:b/>
            <w:noProof/>
            <w:sz w:val="18"/>
            <w:szCs w:val="18"/>
          </w:rPr>
          <w:t>3</w:t>
        </w:r>
        <w:r w:rsidR="0090395A">
          <w:rPr>
            <w:b/>
            <w:noProof/>
            <w:sz w:val="18"/>
            <w:szCs w:val="18"/>
          </w:rPr>
          <w:fldChar w:fldCharType="end"/>
        </w:r>
        <w:r>
          <w:rPr>
            <w:b/>
            <w:noProof/>
            <w:sz w:val="18"/>
            <w:szCs w:val="18"/>
          </w:rPr>
          <w:br/>
        </w:r>
      </w:p>
    </w:sdtContent>
  </w:sdt>
  <w:p w14:paraId="00C9B472" w14:textId="77777777" w:rsidR="002802DD" w:rsidRPr="00CF104E" w:rsidRDefault="00CF104E" w:rsidP="00CF104E">
    <w:pPr>
      <w:pStyle w:val="BasicParagraph"/>
      <w:jc w:val="center"/>
      <w:rPr>
        <w:color w:val="7F7F7F" w:themeColor="text1" w:themeTint="80"/>
      </w:rPr>
    </w:pPr>
    <w:r w:rsidRPr="00CF104E">
      <w:rPr>
        <w:rFonts w:ascii="Open Sans" w:hAnsi="Open Sans" w:cs="Open Sans"/>
        <w:color w:val="7F7F7F" w:themeColor="text1" w:themeTint="80"/>
        <w:sz w:val="14"/>
        <w:szCs w:val="14"/>
        <w:lang w:val="en-GB"/>
      </w:rPr>
      <w:t>Royal College of Physicians and Surgeons of 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268B" w14:textId="77777777" w:rsidR="007D0584" w:rsidRPr="00813420" w:rsidRDefault="007D0584" w:rsidP="007D0584">
    <w:pPr>
      <w:pStyle w:val="Footer"/>
      <w:jc w:val="center"/>
      <w:rPr>
        <w:b/>
        <w:sz w:val="18"/>
        <w:szCs w:val="18"/>
      </w:rPr>
    </w:pPr>
    <w:r w:rsidRPr="00CF104E">
      <w:rPr>
        <w:noProof/>
        <w:color w:val="7F7F7F" w:themeColor="text1" w:themeTint="80"/>
        <w:lang w:val="en-GB" w:eastAsia="en-GB"/>
      </w:rPr>
      <mc:AlternateContent>
        <mc:Choice Requires="wps">
          <w:drawing>
            <wp:anchor distT="0" distB="0" distL="114300" distR="114300" simplePos="0" relativeHeight="251663360" behindDoc="0" locked="0" layoutInCell="1" allowOverlap="1" wp14:anchorId="1FF60457" wp14:editId="3C113B1F">
              <wp:simplePos x="0" y="0"/>
              <wp:positionH relativeFrom="column">
                <wp:posOffset>2768600</wp:posOffset>
              </wp:positionH>
              <wp:positionV relativeFrom="paragraph">
                <wp:posOffset>196215</wp:posOffset>
              </wp:positionV>
              <wp:extent cx="412750" cy="47625"/>
              <wp:effectExtent l="0" t="0" r="6350" b="9525"/>
              <wp:wrapNone/>
              <wp:docPr id="1" name="Rectangle 1"/>
              <wp:cNvGraphicFramePr/>
              <a:graphic xmlns:a="http://schemas.openxmlformats.org/drawingml/2006/main">
                <a:graphicData uri="http://schemas.microsoft.com/office/word/2010/wordprocessingShape">
                  <wps:wsp>
                    <wps:cNvSpPr/>
                    <wps:spPr>
                      <a:xfrm>
                        <a:off x="0" y="0"/>
                        <a:ext cx="412750" cy="47625"/>
                      </a:xfrm>
                      <a:prstGeom prst="rect">
                        <a:avLst/>
                      </a:prstGeom>
                      <a:solidFill>
                        <a:srgbClr val="00A3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7BA77777">
            <v:rect id="Rectangle 1" style="position:absolute;margin-left:218pt;margin-top:15.45pt;width:32.5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a3ad" stroked="f" strokeweight="1pt" w14:anchorId="00436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"/>
          </w:pict>
        </mc:Fallback>
      </mc:AlternateContent>
    </w:r>
    <w:r w:rsidRPr="00813420">
      <w:rPr>
        <w:b/>
        <w:sz w:val="18"/>
        <w:szCs w:val="18"/>
      </w:rPr>
      <w:fldChar w:fldCharType="begin"/>
    </w:r>
    <w:r w:rsidRPr="00813420">
      <w:rPr>
        <w:b/>
        <w:sz w:val="18"/>
        <w:szCs w:val="18"/>
      </w:rPr>
      <w:instrText xml:space="preserve"> PAGE   \* MERGEFORMAT </w:instrText>
    </w:r>
    <w:r w:rsidRPr="00813420">
      <w:rPr>
        <w:b/>
        <w:sz w:val="18"/>
        <w:szCs w:val="18"/>
      </w:rPr>
      <w:fldChar w:fldCharType="separate"/>
    </w:r>
    <w:r w:rsidR="000D3EDF">
      <w:rPr>
        <w:b/>
        <w:noProof/>
        <w:sz w:val="18"/>
        <w:szCs w:val="18"/>
      </w:rPr>
      <w:t>1</w:t>
    </w:r>
    <w:r w:rsidRPr="00813420">
      <w:rPr>
        <w:b/>
        <w:noProof/>
        <w:sz w:val="18"/>
        <w:szCs w:val="18"/>
      </w:rPr>
      <w:fldChar w:fldCharType="end"/>
    </w:r>
    <w:r>
      <w:rPr>
        <w:b/>
        <w:noProof/>
        <w:sz w:val="18"/>
        <w:szCs w:val="18"/>
      </w:rPr>
      <w:t xml:space="preserve"> of </w:t>
    </w:r>
    <w:r>
      <w:rPr>
        <w:b/>
        <w:noProof/>
        <w:sz w:val="18"/>
        <w:szCs w:val="18"/>
      </w:rPr>
      <w:fldChar w:fldCharType="begin"/>
    </w:r>
    <w:r>
      <w:rPr>
        <w:b/>
        <w:noProof/>
        <w:sz w:val="18"/>
        <w:szCs w:val="18"/>
      </w:rPr>
      <w:instrText xml:space="preserve"> NUMPAGES   \* MERGEFORMAT </w:instrText>
    </w:r>
    <w:r>
      <w:rPr>
        <w:b/>
        <w:noProof/>
        <w:sz w:val="18"/>
        <w:szCs w:val="18"/>
      </w:rPr>
      <w:fldChar w:fldCharType="separate"/>
    </w:r>
    <w:r w:rsidR="000D3EDF">
      <w:rPr>
        <w:b/>
        <w:noProof/>
        <w:sz w:val="18"/>
        <w:szCs w:val="18"/>
      </w:rPr>
      <w:t>3</w:t>
    </w:r>
    <w:r>
      <w:rPr>
        <w:b/>
        <w:noProof/>
        <w:sz w:val="18"/>
        <w:szCs w:val="18"/>
      </w:rPr>
      <w:fldChar w:fldCharType="end"/>
    </w:r>
    <w:r>
      <w:rPr>
        <w:b/>
        <w:noProof/>
        <w:sz w:val="18"/>
        <w:szCs w:val="18"/>
      </w:rPr>
      <w:br/>
    </w:r>
  </w:p>
  <w:p w14:paraId="39C88E18" w14:textId="77777777" w:rsidR="007D0584" w:rsidRPr="00CF104E" w:rsidRDefault="007D0584" w:rsidP="007D0584">
    <w:pPr>
      <w:pStyle w:val="BasicParagraph"/>
      <w:jc w:val="center"/>
      <w:rPr>
        <w:color w:val="7F7F7F" w:themeColor="text1" w:themeTint="80"/>
      </w:rPr>
    </w:pPr>
    <w:r w:rsidRPr="00CF104E">
      <w:rPr>
        <w:rFonts w:ascii="Open Sans" w:hAnsi="Open Sans" w:cs="Open Sans"/>
        <w:color w:val="7F7F7F" w:themeColor="text1" w:themeTint="80"/>
        <w:sz w:val="14"/>
        <w:szCs w:val="14"/>
        <w:lang w:val="en-GB"/>
      </w:rPr>
      <w:t>Royal College of Physicians and Surgeons of Canada</w:t>
    </w:r>
  </w:p>
  <w:p w14:paraId="5E000243" w14:textId="77777777" w:rsidR="005406B1" w:rsidRPr="00813420" w:rsidRDefault="00255259" w:rsidP="005406B1">
    <w:pPr>
      <w:pStyle w:val="Footer"/>
      <w:jc w:val="right"/>
      <w:rPr>
        <w:color w:val="003A5B" w:themeColor="text2"/>
        <w:sz w:val="18"/>
        <w:szCs w:val="18"/>
      </w:rPr>
    </w:pPr>
    <w:r w:rsidRPr="00813420">
      <w:rPr>
        <w:noProof/>
        <w:color w:val="003A5B" w:themeColor="text2"/>
        <w:sz w:val="18"/>
        <w:szCs w:val="18"/>
        <w:lang w:val="en-GB" w:eastAsia="en-GB"/>
      </w:rPr>
      <w:drawing>
        <wp:anchor distT="0" distB="0" distL="114300" distR="114300" simplePos="0" relativeHeight="251661312" behindDoc="0" locked="0" layoutInCell="1" allowOverlap="1" wp14:anchorId="7C15F2F8" wp14:editId="711704B5">
          <wp:simplePos x="0" y="0"/>
          <wp:positionH relativeFrom="column">
            <wp:posOffset>1024255</wp:posOffset>
          </wp:positionH>
          <wp:positionV relativeFrom="paragraph">
            <wp:posOffset>2032635</wp:posOffset>
          </wp:positionV>
          <wp:extent cx="6763385" cy="963295"/>
          <wp:effectExtent l="0" t="0" r="0" b="8255"/>
          <wp:wrapNone/>
          <wp:docPr id="20" name="Picture 20" descr="header-PDF_template2-e-f_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DF_template2-e-f_B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813420">
      <w:rPr>
        <w:color w:val="003A5B" w:themeColor="tex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96B1" w14:textId="77777777" w:rsidR="00262330" w:rsidRDefault="00262330" w:rsidP="00F314BB">
      <w:pPr>
        <w:pStyle w:val="separator"/>
      </w:pPr>
    </w:p>
  </w:footnote>
  <w:footnote w:type="continuationSeparator" w:id="0">
    <w:p w14:paraId="77194970" w14:textId="77777777" w:rsidR="00262330" w:rsidRDefault="00262330"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F373" w14:textId="77777777" w:rsidR="007D0584" w:rsidRDefault="007D0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BE6B" w14:textId="77777777" w:rsidR="007D0584" w:rsidRDefault="007D0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2412" w14:textId="77777777" w:rsidR="00500F6F" w:rsidRDefault="00500F6F" w:rsidP="00500F6F">
    <w:pPr>
      <w:pStyle w:val="Header"/>
      <w:tabs>
        <w:tab w:val="left" w:pos="3402"/>
      </w:tabs>
    </w:pPr>
    <w:r w:rsidRPr="00813420">
      <w:rPr>
        <w:noProof/>
        <w:color w:val="003A5B" w:themeColor="text2"/>
        <w:szCs w:val="18"/>
        <w:lang w:val="en-GB" w:eastAsia="en-GB"/>
      </w:rPr>
      <w:drawing>
        <wp:anchor distT="0" distB="0" distL="114300" distR="114300" simplePos="0" relativeHeight="251660288" behindDoc="1" locked="0" layoutInCell="1" allowOverlap="1" wp14:anchorId="4850F140" wp14:editId="64440162">
          <wp:simplePos x="0" y="0"/>
          <wp:positionH relativeFrom="margin">
            <wp:posOffset>-520700</wp:posOffset>
          </wp:positionH>
          <wp:positionV relativeFrom="margin">
            <wp:posOffset>-1166630</wp:posOffset>
          </wp:positionV>
          <wp:extent cx="2221865" cy="974725"/>
          <wp:effectExtent l="0" t="0" r="0" b="0"/>
          <wp:wrapNone/>
          <wp:docPr id="18" name="Picture 18" title="Roy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0129_RC_Logo_Revised.png"/>
                  <pic:cNvPicPr/>
                </pic:nvPicPr>
                <pic:blipFill>
                  <a:blip r:embed="rId1">
                    <a:extLst>
                      <a:ext uri="{28A0092B-C50C-407E-A947-70E740481C1C}">
                        <a14:useLocalDpi xmlns:a14="http://schemas.microsoft.com/office/drawing/2010/main" val="0"/>
                      </a:ext>
                    </a:extLst>
                  </a:blip>
                  <a:stretch>
                    <a:fillRect/>
                  </a:stretch>
                </pic:blipFill>
                <pic:spPr>
                  <a:xfrm>
                    <a:off x="0" y="0"/>
                    <a:ext cx="2221865" cy="974725"/>
                  </a:xfrm>
                  <a:prstGeom prst="rect">
                    <a:avLst/>
                  </a:prstGeom>
                </pic:spPr>
              </pic:pic>
            </a:graphicData>
          </a:graphic>
          <wp14:sizeRelH relativeFrom="margin">
            <wp14:pctWidth>0</wp14:pctWidth>
          </wp14:sizeRelH>
          <wp14:sizeRelV relativeFrom="margin">
            <wp14:pctHeight>0</wp14:pctHeight>
          </wp14:sizeRelV>
        </wp:anchor>
      </w:drawing>
    </w:r>
  </w:p>
  <w:p w14:paraId="77A98613" w14:textId="77777777" w:rsidR="00500F6F" w:rsidRDefault="00500F6F" w:rsidP="00500F6F">
    <w:pPr>
      <w:pStyle w:val="Header"/>
      <w:tabs>
        <w:tab w:val="left" w:pos="3402"/>
      </w:tabs>
    </w:pPr>
  </w:p>
  <w:p w14:paraId="3D89884E" w14:textId="77777777" w:rsidR="00500F6F" w:rsidRDefault="00500F6F" w:rsidP="00500F6F">
    <w:pPr>
      <w:pStyle w:val="Header"/>
      <w:tabs>
        <w:tab w:val="left" w:pos="3402"/>
      </w:tabs>
    </w:pPr>
  </w:p>
  <w:p w14:paraId="603EE67C" w14:textId="77777777" w:rsidR="00500F6F" w:rsidRDefault="00500F6F" w:rsidP="00500F6F">
    <w:pPr>
      <w:pStyle w:val="Header"/>
      <w:tabs>
        <w:tab w:val="left" w:pos="3402"/>
      </w:tabs>
    </w:pPr>
  </w:p>
  <w:p w14:paraId="681D0E31" w14:textId="77777777" w:rsidR="00500F6F" w:rsidRDefault="00500F6F" w:rsidP="00500F6F">
    <w:pPr>
      <w:pStyle w:val="Header"/>
      <w:tabs>
        <w:tab w:val="left" w:pos="3402"/>
      </w:tabs>
    </w:pPr>
  </w:p>
  <w:p w14:paraId="3DB66443" w14:textId="77777777" w:rsidR="00500F6F" w:rsidRDefault="00500F6F" w:rsidP="00500F6F">
    <w:pPr>
      <w:pStyle w:val="Header"/>
      <w:tabs>
        <w:tab w:val="left" w:pos="3402"/>
      </w:tabs>
    </w:pPr>
  </w:p>
  <w:p w14:paraId="19313EDA" w14:textId="77777777" w:rsidR="00500F6F" w:rsidRDefault="00500F6F" w:rsidP="00500F6F">
    <w:pPr>
      <w:pStyle w:val="Header"/>
      <w:tabs>
        <w:tab w:val="left" w:pos="3402"/>
      </w:tabs>
    </w:pPr>
  </w:p>
  <w:p w14:paraId="1144E2E0" w14:textId="77777777"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themeColor="accent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5564116"/>
    <w:multiLevelType w:val="multilevel"/>
    <w:tmpl w:val="2708E1B4"/>
    <w:lvl w:ilvl="0">
      <w:start w:val="3"/>
      <w:numFmt w:val="decimal"/>
      <w:lvlText w:val="%1"/>
      <w:lvlJc w:val="left"/>
      <w:pPr>
        <w:ind w:left="657" w:hanging="657"/>
      </w:pPr>
      <w:rPr>
        <w:rFonts w:hint="default"/>
      </w:rPr>
    </w:lvl>
    <w:lvl w:ilvl="1">
      <w:start w:val="3"/>
      <w:numFmt w:val="decimal"/>
      <w:lvlText w:val="%1.%2"/>
      <w:lvlJc w:val="left"/>
      <w:pPr>
        <w:ind w:left="657" w:hanging="657"/>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190801"/>
    <w:multiLevelType w:val="hybridMultilevel"/>
    <w:tmpl w:val="72EADED8"/>
    <w:lvl w:ilvl="0" w:tplc="08090001">
      <w:start w:val="1"/>
      <w:numFmt w:val="bullet"/>
      <w:lvlText w:val=""/>
      <w:lvlJc w:val="left"/>
      <w:pPr>
        <w:ind w:left="1260" w:hanging="360"/>
      </w:pPr>
      <w:rPr>
        <w:rFonts w:ascii="Symbol" w:hAnsi="Symbol" w:hint="default"/>
        <w:b w:val="0"/>
        <w:sz w:val="20"/>
        <w:szCs w:val="20"/>
      </w:rPr>
    </w:lvl>
    <w:lvl w:ilvl="1" w:tplc="0DE461B0">
      <w:numFmt w:val="bullet"/>
      <w:lvlText w:val="•"/>
      <w:lvlJc w:val="left"/>
      <w:pPr>
        <w:ind w:left="1608" w:hanging="360"/>
      </w:pPr>
      <w:rPr>
        <w:rFonts w:ascii="Open Sans" w:eastAsiaTheme="minorHAnsi" w:hAnsi="Open Sans" w:cs="Open Sans" w:hint="default"/>
      </w:rPr>
    </w:lvl>
    <w:lvl w:ilvl="2" w:tplc="08090001">
      <w:start w:val="1"/>
      <w:numFmt w:val="bullet"/>
      <w:lvlText w:val=""/>
      <w:lvlJc w:val="left"/>
      <w:pPr>
        <w:ind w:left="2328" w:hanging="180"/>
      </w:pPr>
      <w:rPr>
        <w:rFonts w:ascii="Symbol" w:hAnsi="Symbol" w:hint="default"/>
      </w:rPr>
    </w:lvl>
    <w:lvl w:ilvl="3" w:tplc="0809000F" w:tentative="1">
      <w:start w:val="1"/>
      <w:numFmt w:val="decimal"/>
      <w:lvlText w:val="%4."/>
      <w:lvlJc w:val="left"/>
      <w:pPr>
        <w:ind w:left="3048" w:hanging="360"/>
      </w:pPr>
    </w:lvl>
    <w:lvl w:ilvl="4" w:tplc="08090019" w:tentative="1">
      <w:start w:val="1"/>
      <w:numFmt w:val="lowerLetter"/>
      <w:lvlText w:val="%5."/>
      <w:lvlJc w:val="left"/>
      <w:pPr>
        <w:ind w:left="3768" w:hanging="360"/>
      </w:pPr>
    </w:lvl>
    <w:lvl w:ilvl="5" w:tplc="0809001B" w:tentative="1">
      <w:start w:val="1"/>
      <w:numFmt w:val="lowerRoman"/>
      <w:lvlText w:val="%6."/>
      <w:lvlJc w:val="right"/>
      <w:pPr>
        <w:ind w:left="4488" w:hanging="180"/>
      </w:pPr>
    </w:lvl>
    <w:lvl w:ilvl="6" w:tplc="0809000F" w:tentative="1">
      <w:start w:val="1"/>
      <w:numFmt w:val="decimal"/>
      <w:lvlText w:val="%7."/>
      <w:lvlJc w:val="left"/>
      <w:pPr>
        <w:ind w:left="5208" w:hanging="360"/>
      </w:pPr>
    </w:lvl>
    <w:lvl w:ilvl="7" w:tplc="08090019" w:tentative="1">
      <w:start w:val="1"/>
      <w:numFmt w:val="lowerLetter"/>
      <w:lvlText w:val="%8."/>
      <w:lvlJc w:val="left"/>
      <w:pPr>
        <w:ind w:left="5928" w:hanging="360"/>
      </w:pPr>
    </w:lvl>
    <w:lvl w:ilvl="8" w:tplc="0809001B" w:tentative="1">
      <w:start w:val="1"/>
      <w:numFmt w:val="lowerRoman"/>
      <w:lvlText w:val="%9."/>
      <w:lvlJc w:val="right"/>
      <w:pPr>
        <w:ind w:left="6648" w:hanging="180"/>
      </w:p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571D78"/>
    <w:multiLevelType w:val="hybridMultilevel"/>
    <w:tmpl w:val="DEEE0608"/>
    <w:lvl w:ilvl="0" w:tplc="3A3A36DE">
      <w:start w:val="5"/>
      <w:numFmt w:val="decimal"/>
      <w:lvlText w:val="%1."/>
      <w:lvlJc w:val="left"/>
      <w:pPr>
        <w:ind w:left="3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A210C"/>
    <w:multiLevelType w:val="hybridMultilevel"/>
    <w:tmpl w:val="052C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55D63"/>
    <w:multiLevelType w:val="hybridMultilevel"/>
    <w:tmpl w:val="C98ED2DC"/>
    <w:lvl w:ilvl="0" w:tplc="F0546F36">
      <w:start w:val="1"/>
      <w:numFmt w:val="decimal"/>
      <w:lvlText w:val="3.%1"/>
      <w:lvlJc w:val="left"/>
      <w:pPr>
        <w:ind w:left="1080" w:hanging="720"/>
      </w:pPr>
      <w:rPr>
        <w:rFonts w:hint="default"/>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B14E9"/>
    <w:multiLevelType w:val="hybridMultilevel"/>
    <w:tmpl w:val="543E4704"/>
    <w:lvl w:ilvl="0" w:tplc="3A3A36DE">
      <w:start w:val="5"/>
      <w:numFmt w:val="decimal"/>
      <w:lvlText w:val="%1."/>
      <w:lvlJc w:val="left"/>
      <w:pPr>
        <w:ind w:left="3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themeColor="accent3"/>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A342A7E"/>
    <w:multiLevelType w:val="hybridMultilevel"/>
    <w:tmpl w:val="A4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95C2C"/>
    <w:multiLevelType w:val="multilevel"/>
    <w:tmpl w:val="7C180C24"/>
    <w:lvl w:ilvl="0">
      <w:start w:val="3"/>
      <w:numFmt w:val="decimal"/>
      <w:lvlText w:val="%1"/>
      <w:lvlJc w:val="left"/>
      <w:pPr>
        <w:ind w:left="634" w:hanging="634"/>
      </w:pPr>
      <w:rPr>
        <w:rFonts w:hint="default"/>
      </w:rPr>
    </w:lvl>
    <w:lvl w:ilvl="1">
      <w:start w:val="3"/>
      <w:numFmt w:val="decimal"/>
      <w:lvlText w:val="%1.%2"/>
      <w:lvlJc w:val="left"/>
      <w:pPr>
        <w:ind w:left="634" w:hanging="634"/>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495FCC"/>
    <w:multiLevelType w:val="hybridMultilevel"/>
    <w:tmpl w:val="EC0AD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08434A"/>
    <w:multiLevelType w:val="hybridMultilevel"/>
    <w:tmpl w:val="DD6402CC"/>
    <w:lvl w:ilvl="0" w:tplc="0809000F">
      <w:start w:val="1"/>
      <w:numFmt w:val="decimal"/>
      <w:lvlText w:val="%1."/>
      <w:lvlJc w:val="left"/>
      <w:pPr>
        <w:ind w:left="372" w:hanging="360"/>
      </w:pPr>
    </w:lvl>
    <w:lvl w:ilvl="1" w:tplc="08090019">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3" w15:restartNumberingAfterBreak="0">
    <w:nsid w:val="458253BE"/>
    <w:multiLevelType w:val="multilevel"/>
    <w:tmpl w:val="CF0C774E"/>
    <w:lvl w:ilvl="0">
      <w:start w:val="3"/>
      <w:numFmt w:val="decimal"/>
      <w:lvlText w:val="%1"/>
      <w:lvlJc w:val="left"/>
      <w:pPr>
        <w:ind w:left="634" w:hanging="634"/>
      </w:pPr>
      <w:rPr>
        <w:rFonts w:hint="default"/>
      </w:rPr>
    </w:lvl>
    <w:lvl w:ilvl="1">
      <w:start w:val="3"/>
      <w:numFmt w:val="decimal"/>
      <w:lvlText w:val="%1.%2"/>
      <w:lvlJc w:val="left"/>
      <w:pPr>
        <w:ind w:left="634" w:hanging="634"/>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2435C7"/>
    <w:multiLevelType w:val="hybridMultilevel"/>
    <w:tmpl w:val="18B434B4"/>
    <w:lvl w:ilvl="0" w:tplc="AF2A4CAE">
      <w:start w:val="1"/>
      <w:numFmt w:val="decimal"/>
      <w:lvlText w:val="4.%1"/>
      <w:lvlJc w:val="left"/>
      <w:pPr>
        <w:ind w:left="1080" w:hanging="72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52261A"/>
    <w:multiLevelType w:val="hybridMultilevel"/>
    <w:tmpl w:val="D0BC6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D812AB"/>
    <w:multiLevelType w:val="hybridMultilevel"/>
    <w:tmpl w:val="BD363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72A0EBB"/>
    <w:multiLevelType w:val="multilevel"/>
    <w:tmpl w:val="B57AC220"/>
    <w:lvl w:ilvl="0">
      <w:start w:val="3"/>
      <w:numFmt w:val="decimal"/>
      <w:lvlText w:val="%1"/>
      <w:lvlJc w:val="left"/>
      <w:pPr>
        <w:ind w:left="461" w:hanging="461"/>
      </w:pPr>
      <w:rPr>
        <w:rFonts w:hint="default"/>
      </w:rPr>
    </w:lvl>
    <w:lvl w:ilvl="1">
      <w:start w:val="3"/>
      <w:numFmt w:val="decimal"/>
      <w:lvlText w:val="%1.%2"/>
      <w:lvlJc w:val="left"/>
      <w:pPr>
        <w:ind w:left="461" w:hanging="4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5137CF"/>
    <w:multiLevelType w:val="hybridMultilevel"/>
    <w:tmpl w:val="73DC3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FF3D4E"/>
    <w:multiLevelType w:val="hybridMultilevel"/>
    <w:tmpl w:val="37A05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074C33"/>
    <w:multiLevelType w:val="hybridMultilevel"/>
    <w:tmpl w:val="CA4EBE90"/>
    <w:lvl w:ilvl="0" w:tplc="4656E066">
      <w:start w:val="4"/>
      <w:numFmt w:val="decimal"/>
      <w:lvlText w:val="%1."/>
      <w:lvlJc w:val="left"/>
      <w:pPr>
        <w:ind w:left="360" w:hanging="360"/>
      </w:pPr>
      <w:rPr>
        <w:rFonts w:hint="default"/>
        <w:b/>
        <w:sz w:val="30"/>
        <w:szCs w:val="3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90691E"/>
    <w:multiLevelType w:val="multilevel"/>
    <w:tmpl w:val="DB6E9F82"/>
    <w:lvl w:ilvl="0">
      <w:start w:val="3"/>
      <w:numFmt w:val="decimal"/>
      <w:lvlText w:val="%1"/>
      <w:lvlJc w:val="left"/>
      <w:pPr>
        <w:ind w:left="657" w:hanging="657"/>
      </w:pPr>
      <w:rPr>
        <w:rFonts w:hint="default"/>
        <w:b/>
      </w:rPr>
    </w:lvl>
    <w:lvl w:ilvl="1">
      <w:start w:val="3"/>
      <w:numFmt w:val="decimal"/>
      <w:lvlText w:val="%1.%2"/>
      <w:lvlJc w:val="left"/>
      <w:pPr>
        <w:ind w:left="657" w:hanging="657"/>
      </w:pPr>
      <w:rPr>
        <w:rFonts w:hint="default"/>
        <w:b/>
      </w:rPr>
    </w:lvl>
    <w:lvl w:ilvl="2">
      <w:start w:val="3"/>
      <w:numFmt w:val="decimal"/>
      <w:lvlText w:val="%1.%2.%3"/>
      <w:lvlJc w:val="left"/>
      <w:pPr>
        <w:ind w:left="720" w:hanging="720"/>
      </w:pPr>
      <w:rPr>
        <w:rFonts w:hint="default"/>
        <w:b/>
      </w:rPr>
    </w:lvl>
    <w:lvl w:ilvl="3">
      <w:start w:val="2"/>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D0A2CB0"/>
    <w:multiLevelType w:val="multilevel"/>
    <w:tmpl w:val="4CC8F76C"/>
    <w:lvl w:ilvl="0">
      <w:start w:val="3"/>
      <w:numFmt w:val="decimal"/>
      <w:lvlText w:val="%1"/>
      <w:lvlJc w:val="left"/>
      <w:pPr>
        <w:ind w:left="634" w:hanging="634"/>
      </w:pPr>
      <w:rPr>
        <w:rFonts w:hint="default"/>
      </w:rPr>
    </w:lvl>
    <w:lvl w:ilvl="1">
      <w:start w:val="3"/>
      <w:numFmt w:val="decimal"/>
      <w:lvlText w:val="%1.%2"/>
      <w:lvlJc w:val="left"/>
      <w:pPr>
        <w:ind w:left="634" w:hanging="634"/>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1394575">
    <w:abstractNumId w:val="18"/>
  </w:num>
  <w:num w:numId="2" w16cid:durableId="741487201">
    <w:abstractNumId w:val="13"/>
  </w:num>
  <w:num w:numId="3" w16cid:durableId="1735810240">
    <w:abstractNumId w:val="0"/>
  </w:num>
  <w:num w:numId="4" w16cid:durableId="1318456131">
    <w:abstractNumId w:val="1"/>
  </w:num>
  <w:num w:numId="5" w16cid:durableId="1284380897">
    <w:abstractNumId w:val="2"/>
  </w:num>
  <w:num w:numId="6" w16cid:durableId="592786006">
    <w:abstractNumId w:val="3"/>
  </w:num>
  <w:num w:numId="7" w16cid:durableId="849025719">
    <w:abstractNumId w:val="8"/>
  </w:num>
  <w:num w:numId="8" w16cid:durableId="32271536">
    <w:abstractNumId w:val="4"/>
  </w:num>
  <w:num w:numId="9" w16cid:durableId="193881523">
    <w:abstractNumId w:val="5"/>
  </w:num>
  <w:num w:numId="10" w16cid:durableId="1742941222">
    <w:abstractNumId w:val="6"/>
  </w:num>
  <w:num w:numId="11" w16cid:durableId="352878450">
    <w:abstractNumId w:val="7"/>
  </w:num>
  <w:num w:numId="12" w16cid:durableId="1551382012">
    <w:abstractNumId w:val="9"/>
  </w:num>
  <w:num w:numId="13" w16cid:durableId="419060941">
    <w:abstractNumId w:val="10"/>
  </w:num>
  <w:num w:numId="14" w16cid:durableId="354962175">
    <w:abstractNumId w:val="22"/>
  </w:num>
  <w:num w:numId="15" w16cid:durableId="169106698">
    <w:abstractNumId w:val="16"/>
  </w:num>
  <w:num w:numId="16" w16cid:durableId="278143602">
    <w:abstractNumId w:val="24"/>
  </w:num>
  <w:num w:numId="17" w16cid:durableId="1000698416">
    <w:abstractNumId w:val="30"/>
  </w:num>
  <w:num w:numId="18" w16cid:durableId="529337985">
    <w:abstractNumId w:val="12"/>
  </w:num>
  <w:num w:numId="19" w16cid:durableId="1938974637">
    <w:abstractNumId w:val="17"/>
  </w:num>
  <w:num w:numId="20" w16cid:durableId="685979206">
    <w:abstractNumId w:val="14"/>
  </w:num>
  <w:num w:numId="21" w16cid:durableId="207760247">
    <w:abstractNumId w:val="29"/>
  </w:num>
  <w:num w:numId="22" w16cid:durableId="876547448">
    <w:abstractNumId w:val="26"/>
  </w:num>
  <w:num w:numId="23" w16cid:durableId="14893514">
    <w:abstractNumId w:val="25"/>
  </w:num>
  <w:num w:numId="24" w16cid:durableId="492111328">
    <w:abstractNumId w:val="15"/>
  </w:num>
  <w:num w:numId="25" w16cid:durableId="647325059">
    <w:abstractNumId w:val="28"/>
  </w:num>
  <w:num w:numId="26" w16cid:durableId="1360744822">
    <w:abstractNumId w:val="21"/>
  </w:num>
  <w:num w:numId="27" w16cid:durableId="1698651098">
    <w:abstractNumId w:val="18"/>
  </w:num>
  <w:num w:numId="28" w16cid:durableId="1243217960">
    <w:abstractNumId w:val="18"/>
  </w:num>
  <w:num w:numId="29" w16cid:durableId="1796755463">
    <w:abstractNumId w:val="18"/>
  </w:num>
  <w:num w:numId="30" w16cid:durableId="96098836">
    <w:abstractNumId w:val="27"/>
  </w:num>
  <w:num w:numId="31" w16cid:durableId="570308849">
    <w:abstractNumId w:val="23"/>
  </w:num>
  <w:num w:numId="32" w16cid:durableId="976571685">
    <w:abstractNumId w:val="32"/>
  </w:num>
  <w:num w:numId="33" w16cid:durableId="88047303">
    <w:abstractNumId w:val="31"/>
  </w:num>
  <w:num w:numId="34" w16cid:durableId="2014069515">
    <w:abstractNumId w:val="11"/>
  </w:num>
  <w:num w:numId="35" w16cid:durableId="216817257">
    <w:abstractNumId w:val="20"/>
  </w:num>
  <w:num w:numId="36" w16cid:durableId="66847408">
    <w:abstractNumId w:val="19"/>
  </w:num>
  <w:num w:numId="37" w16cid:durableId="5315769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FC"/>
    <w:rsid w:val="0000007B"/>
    <w:rsid w:val="00004653"/>
    <w:rsid w:val="00021866"/>
    <w:rsid w:val="00027584"/>
    <w:rsid w:val="00032993"/>
    <w:rsid w:val="00055482"/>
    <w:rsid w:val="0006538A"/>
    <w:rsid w:val="00067FB5"/>
    <w:rsid w:val="00073A17"/>
    <w:rsid w:val="000753B2"/>
    <w:rsid w:val="00093E09"/>
    <w:rsid w:val="00095B03"/>
    <w:rsid w:val="000A47F0"/>
    <w:rsid w:val="000C1906"/>
    <w:rsid w:val="000C6085"/>
    <w:rsid w:val="000D3EDF"/>
    <w:rsid w:val="000E2DEA"/>
    <w:rsid w:val="000E40B6"/>
    <w:rsid w:val="000F481B"/>
    <w:rsid w:val="0010681F"/>
    <w:rsid w:val="0017084C"/>
    <w:rsid w:val="00181D69"/>
    <w:rsid w:val="001D484A"/>
    <w:rsid w:val="001E0A74"/>
    <w:rsid w:val="001E56E7"/>
    <w:rsid w:val="001E5AA7"/>
    <w:rsid w:val="001F52C0"/>
    <w:rsid w:val="00213440"/>
    <w:rsid w:val="002139BE"/>
    <w:rsid w:val="002352F6"/>
    <w:rsid w:val="00235853"/>
    <w:rsid w:val="002367BE"/>
    <w:rsid w:val="00252219"/>
    <w:rsid w:val="00255259"/>
    <w:rsid w:val="00262330"/>
    <w:rsid w:val="0027682A"/>
    <w:rsid w:val="002802DD"/>
    <w:rsid w:val="00282CDC"/>
    <w:rsid w:val="002A5FB8"/>
    <w:rsid w:val="002B03F8"/>
    <w:rsid w:val="002D05EE"/>
    <w:rsid w:val="002E36F9"/>
    <w:rsid w:val="002F6EB4"/>
    <w:rsid w:val="00322403"/>
    <w:rsid w:val="00322ED6"/>
    <w:rsid w:val="0032503A"/>
    <w:rsid w:val="00331DDE"/>
    <w:rsid w:val="003320B2"/>
    <w:rsid w:val="003458E0"/>
    <w:rsid w:val="003572A0"/>
    <w:rsid w:val="00366CF0"/>
    <w:rsid w:val="00386CDA"/>
    <w:rsid w:val="003873A2"/>
    <w:rsid w:val="003921EF"/>
    <w:rsid w:val="00392375"/>
    <w:rsid w:val="003D6AB0"/>
    <w:rsid w:val="003E1609"/>
    <w:rsid w:val="00400DC2"/>
    <w:rsid w:val="00410298"/>
    <w:rsid w:val="00422049"/>
    <w:rsid w:val="00425F65"/>
    <w:rsid w:val="004372C4"/>
    <w:rsid w:val="00437CA1"/>
    <w:rsid w:val="00441491"/>
    <w:rsid w:val="00445650"/>
    <w:rsid w:val="00455437"/>
    <w:rsid w:val="00461A2B"/>
    <w:rsid w:val="0047098E"/>
    <w:rsid w:val="00490DFC"/>
    <w:rsid w:val="0049317A"/>
    <w:rsid w:val="004D6118"/>
    <w:rsid w:val="00500F6F"/>
    <w:rsid w:val="00523D2D"/>
    <w:rsid w:val="0052623A"/>
    <w:rsid w:val="0053006A"/>
    <w:rsid w:val="0053033C"/>
    <w:rsid w:val="0053087F"/>
    <w:rsid w:val="005406B1"/>
    <w:rsid w:val="00557D58"/>
    <w:rsid w:val="005713B3"/>
    <w:rsid w:val="00596D14"/>
    <w:rsid w:val="005A57F7"/>
    <w:rsid w:val="005B64A8"/>
    <w:rsid w:val="005C2F09"/>
    <w:rsid w:val="005C7014"/>
    <w:rsid w:val="005D11C0"/>
    <w:rsid w:val="005D11F7"/>
    <w:rsid w:val="005D33BD"/>
    <w:rsid w:val="00605FB1"/>
    <w:rsid w:val="00613FB2"/>
    <w:rsid w:val="00622B39"/>
    <w:rsid w:val="00654037"/>
    <w:rsid w:val="00663960"/>
    <w:rsid w:val="00670E6C"/>
    <w:rsid w:val="006C04CB"/>
    <w:rsid w:val="006F6874"/>
    <w:rsid w:val="006F6DAE"/>
    <w:rsid w:val="00711267"/>
    <w:rsid w:val="00714574"/>
    <w:rsid w:val="00714EA9"/>
    <w:rsid w:val="00721E45"/>
    <w:rsid w:val="00734F3B"/>
    <w:rsid w:val="007511BC"/>
    <w:rsid w:val="00763A4E"/>
    <w:rsid w:val="007665CD"/>
    <w:rsid w:val="0077197F"/>
    <w:rsid w:val="00777391"/>
    <w:rsid w:val="007A1D49"/>
    <w:rsid w:val="007A7C19"/>
    <w:rsid w:val="007C2EE8"/>
    <w:rsid w:val="007C40F1"/>
    <w:rsid w:val="007D0550"/>
    <w:rsid w:val="007D0584"/>
    <w:rsid w:val="007D2AC5"/>
    <w:rsid w:val="007F219E"/>
    <w:rsid w:val="007F4549"/>
    <w:rsid w:val="00813420"/>
    <w:rsid w:val="00816673"/>
    <w:rsid w:val="0082573D"/>
    <w:rsid w:val="00833150"/>
    <w:rsid w:val="00860BA5"/>
    <w:rsid w:val="008731D0"/>
    <w:rsid w:val="00876B9E"/>
    <w:rsid w:val="008A7C79"/>
    <w:rsid w:val="008C2410"/>
    <w:rsid w:val="008D1DAB"/>
    <w:rsid w:val="008E3B4B"/>
    <w:rsid w:val="008E3CEE"/>
    <w:rsid w:val="008E4CDF"/>
    <w:rsid w:val="008F2AA0"/>
    <w:rsid w:val="0090395A"/>
    <w:rsid w:val="00907044"/>
    <w:rsid w:val="00942992"/>
    <w:rsid w:val="00954630"/>
    <w:rsid w:val="00967355"/>
    <w:rsid w:val="009733A1"/>
    <w:rsid w:val="00993101"/>
    <w:rsid w:val="009954A5"/>
    <w:rsid w:val="00995F49"/>
    <w:rsid w:val="009C389B"/>
    <w:rsid w:val="009D7174"/>
    <w:rsid w:val="00A11F39"/>
    <w:rsid w:val="00A20AEC"/>
    <w:rsid w:val="00A24FBE"/>
    <w:rsid w:val="00A46E58"/>
    <w:rsid w:val="00A73DDF"/>
    <w:rsid w:val="00A84E28"/>
    <w:rsid w:val="00A95923"/>
    <w:rsid w:val="00AB072C"/>
    <w:rsid w:val="00AC5128"/>
    <w:rsid w:val="00AE0AF1"/>
    <w:rsid w:val="00AF2A2D"/>
    <w:rsid w:val="00AF2D83"/>
    <w:rsid w:val="00B07EB6"/>
    <w:rsid w:val="00B24D36"/>
    <w:rsid w:val="00B30265"/>
    <w:rsid w:val="00B35F80"/>
    <w:rsid w:val="00B548D4"/>
    <w:rsid w:val="00B6716C"/>
    <w:rsid w:val="00B87B52"/>
    <w:rsid w:val="00BB0EC8"/>
    <w:rsid w:val="00BB3C83"/>
    <w:rsid w:val="00BB4DA6"/>
    <w:rsid w:val="00BC7CB3"/>
    <w:rsid w:val="00C05470"/>
    <w:rsid w:val="00C10EE1"/>
    <w:rsid w:val="00C11BB5"/>
    <w:rsid w:val="00C1220A"/>
    <w:rsid w:val="00C246ED"/>
    <w:rsid w:val="00C3677C"/>
    <w:rsid w:val="00C54017"/>
    <w:rsid w:val="00C829F3"/>
    <w:rsid w:val="00C83392"/>
    <w:rsid w:val="00C84F30"/>
    <w:rsid w:val="00CB0AB4"/>
    <w:rsid w:val="00CB2E23"/>
    <w:rsid w:val="00CB5633"/>
    <w:rsid w:val="00CB73C0"/>
    <w:rsid w:val="00CC5804"/>
    <w:rsid w:val="00CD3070"/>
    <w:rsid w:val="00CE200B"/>
    <w:rsid w:val="00CE3091"/>
    <w:rsid w:val="00CE512C"/>
    <w:rsid w:val="00CF104E"/>
    <w:rsid w:val="00D07FB1"/>
    <w:rsid w:val="00D37077"/>
    <w:rsid w:val="00D42844"/>
    <w:rsid w:val="00D459B8"/>
    <w:rsid w:val="00D83639"/>
    <w:rsid w:val="00D85261"/>
    <w:rsid w:val="00DC47FC"/>
    <w:rsid w:val="00DF1F0B"/>
    <w:rsid w:val="00E21C55"/>
    <w:rsid w:val="00E31490"/>
    <w:rsid w:val="00E345E8"/>
    <w:rsid w:val="00E41865"/>
    <w:rsid w:val="00E44DA7"/>
    <w:rsid w:val="00E477AD"/>
    <w:rsid w:val="00E6124B"/>
    <w:rsid w:val="00E757B7"/>
    <w:rsid w:val="00E77E5E"/>
    <w:rsid w:val="00E82E83"/>
    <w:rsid w:val="00EA1E12"/>
    <w:rsid w:val="00EA3328"/>
    <w:rsid w:val="00EA6B75"/>
    <w:rsid w:val="00EB02B6"/>
    <w:rsid w:val="00EF4EE8"/>
    <w:rsid w:val="00F04C5D"/>
    <w:rsid w:val="00F23096"/>
    <w:rsid w:val="00F278C9"/>
    <w:rsid w:val="00F314BB"/>
    <w:rsid w:val="00F573CD"/>
    <w:rsid w:val="00F6185A"/>
    <w:rsid w:val="00FA1568"/>
    <w:rsid w:val="00FB077A"/>
    <w:rsid w:val="00FB10BA"/>
    <w:rsid w:val="00FC2D45"/>
    <w:rsid w:val="00FC5E4D"/>
    <w:rsid w:val="00FF37E5"/>
    <w:rsid w:val="02622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06F3C"/>
  <w15:docId w15:val="{FE9C29B8-50A0-45E4-B1DB-35D8EBAB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7BE"/>
    <w:pPr>
      <w:snapToGrid w:val="0"/>
      <w:spacing w:line="240" w:lineRule="auto"/>
    </w:pPr>
    <w:rPr>
      <w:color w:val="595959" w:themeColor="text1" w:themeTint="A6"/>
      <w:sz w:val="20"/>
    </w:rPr>
  </w:style>
  <w:style w:type="paragraph" w:styleId="Heading1">
    <w:name w:val="heading 1"/>
    <w:basedOn w:val="Normal"/>
    <w:next w:val="Normal"/>
    <w:link w:val="Heading1Char"/>
    <w:uiPriority w:val="9"/>
    <w:qFormat/>
    <w:rsid w:val="00A24FBE"/>
    <w:pPr>
      <w:keepNext/>
      <w:keepLines/>
      <w:pBdr>
        <w:bottom w:val="single" w:sz="4" w:space="8" w:color="00A3AD" w:themeColor="accent5"/>
      </w:pBdr>
      <w:spacing w:after="400" w:line="680" w:lineRule="exact"/>
      <w:outlineLvl w:val="0"/>
    </w:pPr>
    <w:rPr>
      <w:rFonts w:eastAsiaTheme="majorEastAsia" w:cs="Open Sans (Body)"/>
      <w:bCs/>
      <w:color w:val="003A5B" w:themeColor="text2"/>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themeColor="accent1"/>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Theme="majorHAnsi" w:eastAsiaTheme="majorEastAsia" w:hAnsiTheme="majorHAnsi" w:cstheme="majorBidi"/>
      <w:b/>
      <w:bCs/>
      <w:color w:val="9A3324" w:themeColor="accent3"/>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ascii="Open Sans" w:hAnsi="Open San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ascii="Open Sans" w:hAnsi="Open San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themeColor="accent2"/>
      <w:sz w:val="18"/>
    </w:rPr>
  </w:style>
  <w:style w:type="character" w:customStyle="1" w:styleId="HeaderChar">
    <w:name w:val="Header Char"/>
    <w:basedOn w:val="DefaultParagraphFont"/>
    <w:link w:val="Header"/>
    <w:uiPriority w:val="99"/>
    <w:rsid w:val="0047098E"/>
    <w:rPr>
      <w:color w:val="4B4F54" w:themeColor="accent2"/>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A24FBE"/>
    <w:rPr>
      <w:rFonts w:eastAsiaTheme="majorEastAsia" w:cs="Open Sans (Body)"/>
      <w:bCs/>
      <w:color w:val="003A5B" w:themeColor="text2"/>
      <w:sz w:val="64"/>
      <w:szCs w:val="48"/>
    </w:rPr>
  </w:style>
  <w:style w:type="character" w:customStyle="1" w:styleId="Heading2Char">
    <w:name w:val="Heading 2 Char"/>
    <w:basedOn w:val="DefaultParagraphFont"/>
    <w:link w:val="Heading2"/>
    <w:uiPriority w:val="9"/>
    <w:rsid w:val="00596D14"/>
    <w:rPr>
      <w:rFonts w:ascii="Open Sans SemiBold" w:hAnsi="Open Sans SemiBold" w:cs="Open Sans SemiBold"/>
      <w:b/>
      <w:bCs/>
      <w:color w:val="007680" w:themeColor="accent1"/>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3E1609"/>
    <w:rPr>
      <w:rFonts w:asciiTheme="majorHAnsi" w:eastAsiaTheme="majorEastAsia" w:hAnsiTheme="majorHAnsi" w:cstheme="majorBidi"/>
      <w:b/>
      <w:bCs/>
      <w:color w:val="9A3324" w:themeColor="accent3"/>
      <w:sz w:val="30"/>
      <w:szCs w:val="30"/>
    </w:rPr>
  </w:style>
  <w:style w:type="character" w:customStyle="1" w:styleId="Heading4Char">
    <w:name w:val="Heading 4 Char"/>
    <w:basedOn w:val="DefaultParagraphFont"/>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basedOn w:val="DefaultParagraphFont"/>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Theme="majorHAnsi" w:eastAsiaTheme="majorEastAsia" w:hAnsiTheme="majorHAnsi" w:cs="Times New Roman (Headings CS)"/>
      <w:color w:val="003A5B" w:themeColor="text2"/>
      <w:sz w:val="68"/>
      <w:szCs w:val="56"/>
    </w:rPr>
  </w:style>
  <w:style w:type="character" w:customStyle="1" w:styleId="TitleChar">
    <w:name w:val="Title Char"/>
    <w:basedOn w:val="DefaultParagraphFont"/>
    <w:link w:val="Title"/>
    <w:uiPriority w:val="10"/>
    <w:rsid w:val="00D459B8"/>
    <w:rPr>
      <w:rFonts w:asciiTheme="majorHAnsi" w:eastAsiaTheme="majorEastAsia" w:hAnsiTheme="majorHAnsi" w:cs="Times New Roman (Headings CS)"/>
      <w:color w:val="003A5B" w:themeColor="text2"/>
      <w:sz w:val="68"/>
      <w:szCs w:val="56"/>
    </w:rPr>
  </w:style>
  <w:style w:type="character" w:styleId="Strong">
    <w:name w:val="Strong"/>
    <w:basedOn w:val="DefaultParagraphFont"/>
    <w:uiPriority w:val="22"/>
    <w:qFormat/>
    <w:rsid w:val="00763A4E"/>
    <w:rPr>
      <w:b/>
      <w:bCs/>
    </w:rPr>
  </w:style>
  <w:style w:type="paragraph" w:customStyle="1" w:styleId="ChartHead">
    <w:name w:val="Chart Head"/>
    <w:basedOn w:val="Normal"/>
    <w:qFormat/>
    <w:rsid w:val="00763A4E"/>
    <w:pPr>
      <w:spacing w:after="0"/>
    </w:pPr>
    <w:rPr>
      <w:rFonts w:asciiTheme="majorHAnsi" w:eastAsiaTheme="majorEastAsia" w:hAnsiTheme="majorHAnsi" w:cstheme="majorBidi"/>
      <w:b/>
      <w:bCs/>
      <w:color w:val="000000" w:themeColor="text1"/>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ascii="Open Sans" w:hAnsi="Open San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themeColor="accent4"/>
      </w:pBdr>
      <w:suppressAutoHyphens/>
      <w:autoSpaceDE w:val="0"/>
      <w:autoSpaceDN w:val="0"/>
      <w:adjustRightInd w:val="0"/>
      <w:spacing w:before="360" w:after="0" w:line="360" w:lineRule="atLeast"/>
      <w:ind w:left="1037" w:right="720"/>
      <w:textAlignment w:val="center"/>
    </w:pPr>
    <w:rPr>
      <w:rFonts w:ascii="Open Sans" w:hAnsi="Open Sans" w:cs="Open Sans SemiBold"/>
      <w:b/>
      <w:bCs/>
      <w:color w:val="A02815"/>
      <w:sz w:val="28"/>
      <w:szCs w:val="28"/>
      <w:lang w:val="en-GB"/>
    </w:rPr>
  </w:style>
  <w:style w:type="character" w:customStyle="1" w:styleId="QuoteChar">
    <w:name w:val="Quote Char"/>
    <w:basedOn w:val="DefaultParagraphFont"/>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themeColor="text1"/>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ascii="Open Sans" w:hAnsi="Open San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ascii="Open Sans" w:hAnsi="Open Sans" w:cs="Open Sans"/>
      <w:color w:val="00000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ascii="Open Sans" w:hAnsi="Open Sans" w:cs="Open Sans"/>
      <w:sz w:val="16"/>
      <w:szCs w:val="16"/>
      <w:lang w:val="en-US"/>
    </w:rPr>
  </w:style>
  <w:style w:type="character" w:customStyle="1" w:styleId="Italic">
    <w:name w:val="Italic"/>
    <w:uiPriority w:val="99"/>
    <w:rsid w:val="003E1609"/>
    <w:rPr>
      <w:i/>
      <w:iCs/>
    </w:rPr>
  </w:style>
  <w:style w:type="character" w:styleId="Emphasis">
    <w:name w:val="Emphasis"/>
    <w:basedOn w:val="DefaultParagraphFont"/>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ascii="Open Sans" w:hAnsi="Open San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ascii="Open Sans" w:hAnsi="Open Sans" w:cs="Open Sans"/>
      <w:b/>
      <w:bCs/>
      <w:color w:val="00000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themeColor="accent4"/>
      </w:pBdr>
      <w:spacing w:before="160" w:after="0" w:line="120" w:lineRule="exact"/>
    </w:pPr>
  </w:style>
  <w:style w:type="table" w:styleId="TableGrid">
    <w:name w:val="Table Grid"/>
    <w:basedOn w:val="TableNormal"/>
    <w:uiPriority w:val="59"/>
    <w:unhideWhenUsed/>
    <w:rsid w:val="00EA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7682A"/>
    <w:pPr>
      <w:spacing w:after="0" w:line="240" w:lineRule="auto"/>
    </w:pPr>
    <w:rPr>
      <w:color w:val="383B3E" w:themeColor="accent2" w:themeShade="BF"/>
    </w:rPr>
    <w:tblPr>
      <w:tblStyleRowBandSize w:val="1"/>
      <w:tblStyleColBandSize w:val="1"/>
      <w:tblBorders>
        <w:top w:val="single" w:sz="8" w:space="0" w:color="4B4F54" w:themeColor="accent2"/>
        <w:bottom w:val="single" w:sz="8" w:space="0" w:color="4B4F54" w:themeColor="accent2"/>
      </w:tblBorders>
    </w:tblPr>
    <w:tblStylePr w:type="firstRow">
      <w:pPr>
        <w:spacing w:before="0" w:after="0" w:line="240" w:lineRule="auto"/>
      </w:pPr>
      <w:rPr>
        <w:b/>
        <w:bCs/>
      </w:rPr>
      <w:tblPr/>
      <w:tcPr>
        <w:tcBorders>
          <w:top w:val="single" w:sz="8" w:space="0" w:color="4B4F54" w:themeColor="accent2"/>
          <w:left w:val="nil"/>
          <w:bottom w:val="single" w:sz="8" w:space="0" w:color="4B4F54" w:themeColor="accent2"/>
          <w:right w:val="nil"/>
          <w:insideH w:val="nil"/>
          <w:insideV w:val="nil"/>
        </w:tcBorders>
      </w:tcPr>
    </w:tblStylePr>
    <w:tblStylePr w:type="lastRow">
      <w:pPr>
        <w:spacing w:before="0" w:after="0" w:line="240" w:lineRule="auto"/>
      </w:pPr>
      <w:rPr>
        <w:b/>
        <w:bCs/>
      </w:rPr>
      <w:tblPr/>
      <w:tcPr>
        <w:tcBorders>
          <w:top w:val="single" w:sz="8" w:space="0" w:color="4B4F54" w:themeColor="accent2"/>
          <w:left w:val="nil"/>
          <w:bottom w:val="single" w:sz="8" w:space="0" w:color="4B4F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hemeFill="accent2" w:themeFillTint="3F"/>
      </w:tcPr>
    </w:tblStylePr>
    <w:tblStylePr w:type="band1Horz">
      <w:tblPr/>
      <w:tcPr>
        <w:tcBorders>
          <w:left w:val="nil"/>
          <w:right w:val="nil"/>
          <w:insideH w:val="nil"/>
          <w:insideV w:val="nil"/>
        </w:tcBorders>
        <w:shd w:val="clear" w:color="auto" w:fill="D1D3D6" w:themeFill="accent2" w:themeFillTint="3F"/>
      </w:tcPr>
    </w:tblStylePr>
  </w:style>
  <w:style w:type="table" w:styleId="LightList">
    <w:name w:val="Light List"/>
    <w:basedOn w:val="TableNormal"/>
    <w:uiPriority w:val="61"/>
    <w:rsid w:val="00276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768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pPr>
      <w:spacing w:after="0" w:line="240" w:lineRule="auto"/>
    </w:pPr>
    <w:tblPr>
      <w:tblStyleRowBandSize w:val="1"/>
      <w:tblStyleColBandSize w:val="1"/>
      <w:tblBorders>
        <w:top w:val="single" w:sz="8"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single" w:sz="8" w:space="0" w:color="FFD940" w:themeColor="accent4" w:themeTint="BF"/>
      </w:tblBorders>
    </w:tblPr>
    <w:tblStylePr w:type="firstRow">
      <w:pPr>
        <w:spacing w:before="0" w:after="0" w:line="240" w:lineRule="auto"/>
      </w:pPr>
      <w:rPr>
        <w:b/>
        <w:bCs/>
        <w:color w:val="FFFFFF" w:themeColor="background1"/>
      </w:rPr>
      <w:tblPr/>
      <w:tcPr>
        <w:tcBorders>
          <w:top w:val="single" w:sz="8"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nil"/>
          <w:insideV w:val="nil"/>
        </w:tcBorders>
        <w:shd w:val="clear" w:color="auto" w:fill="FFCD00" w:themeFill="accent4"/>
      </w:tcPr>
    </w:tblStylePr>
    <w:tblStylePr w:type="lastRow">
      <w:pPr>
        <w:spacing w:before="0" w:after="0" w:line="240" w:lineRule="auto"/>
      </w:pPr>
      <w:rPr>
        <w:b/>
        <w:bCs/>
      </w:rPr>
      <w:tblPr/>
      <w:tcPr>
        <w:tcBorders>
          <w:top w:val="double" w:sz="6"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4" w:themeFillTint="3F"/>
      </w:tcPr>
    </w:tblStylePr>
    <w:tblStylePr w:type="band1Horz">
      <w:tblPr/>
      <w:tcPr>
        <w:tcBorders>
          <w:insideH w:val="nil"/>
          <w:insideV w:val="nil"/>
        </w:tcBorders>
        <w:shd w:val="clear" w:color="auto" w:fill="FFF2C0"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pPr>
      <w:spacing w:after="0" w:line="240" w:lineRule="auto"/>
    </w:pPr>
    <w:rPr>
      <w:color w:val="000000" w:themeColor="text1"/>
    </w:rPr>
    <w:tblPr>
      <w:tblStyleRowBandSize w:val="1"/>
      <w:tblStyleColBandSize w:val="1"/>
      <w:tblBorders>
        <w:top w:val="single" w:sz="8" w:space="0" w:color="FFCD00" w:themeColor="accent4"/>
        <w:bottom w:val="single" w:sz="8" w:space="0" w:color="FFCD00" w:themeColor="accent4"/>
      </w:tblBorders>
    </w:tblPr>
    <w:tblStylePr w:type="firstRow">
      <w:rPr>
        <w:rFonts w:asciiTheme="majorHAnsi" w:eastAsiaTheme="majorEastAsia" w:hAnsiTheme="majorHAnsi" w:cstheme="majorBidi"/>
      </w:rPr>
      <w:tblPr/>
      <w:tcPr>
        <w:tcBorders>
          <w:top w:val="nil"/>
          <w:bottom w:val="single" w:sz="8" w:space="0" w:color="FFCD00" w:themeColor="accent4"/>
        </w:tcBorders>
      </w:tcPr>
    </w:tblStylePr>
    <w:tblStylePr w:type="lastRow">
      <w:rPr>
        <w:b/>
        <w:bCs/>
        <w:color w:val="003A5B" w:themeColor="text2"/>
      </w:rPr>
      <w:tblPr/>
      <w:tcPr>
        <w:tcBorders>
          <w:top w:val="single" w:sz="8" w:space="0" w:color="FFCD00" w:themeColor="accent4"/>
          <w:bottom w:val="single" w:sz="8" w:space="0" w:color="FFCD00" w:themeColor="accent4"/>
        </w:tcBorders>
      </w:tcPr>
    </w:tblStylePr>
    <w:tblStylePr w:type="firstCol">
      <w:rPr>
        <w:b/>
        <w:bCs/>
      </w:rPr>
    </w:tblStylePr>
    <w:tblStylePr w:type="lastCol">
      <w:rPr>
        <w:b/>
        <w:bCs/>
      </w:rPr>
      <w:tblPr/>
      <w:tcPr>
        <w:tcBorders>
          <w:top w:val="single" w:sz="8" w:space="0" w:color="FFCD00" w:themeColor="accent4"/>
          <w:bottom w:val="single" w:sz="8" w:space="0" w:color="FFCD00" w:themeColor="accent4"/>
        </w:tcBorders>
      </w:tcPr>
    </w:tblStylePr>
    <w:tblStylePr w:type="band1Vert">
      <w:tblPr/>
      <w:tcPr>
        <w:shd w:val="clear" w:color="auto" w:fill="FFF2C0" w:themeFill="accent4" w:themeFillTint="3F"/>
      </w:tcPr>
    </w:tblStylePr>
    <w:tblStylePr w:type="band1Horz">
      <w:tblPr/>
      <w:tcPr>
        <w:shd w:val="clear" w:color="auto" w:fill="FFF2C0" w:themeFill="accent4" w:themeFillTint="3F"/>
      </w:tcPr>
    </w:tblStylePr>
  </w:style>
  <w:style w:type="table" w:styleId="MediumList1-Accent2">
    <w:name w:val="Medium List 1 Accent 2"/>
    <w:basedOn w:val="TableNormal"/>
    <w:uiPriority w:val="65"/>
    <w:rsid w:val="002139BE"/>
    <w:pPr>
      <w:spacing w:after="0" w:line="240" w:lineRule="auto"/>
    </w:pPr>
    <w:rPr>
      <w:color w:val="000000" w:themeColor="text1"/>
    </w:rPr>
    <w:tblPr>
      <w:tblStyleRowBandSize w:val="1"/>
      <w:tblStyleColBandSize w:val="1"/>
      <w:tblBorders>
        <w:top w:val="single" w:sz="8" w:space="0" w:color="4B4F54" w:themeColor="accent2"/>
        <w:bottom w:val="single" w:sz="8" w:space="0" w:color="4B4F54" w:themeColor="accent2"/>
      </w:tblBorders>
    </w:tblPr>
    <w:tblStylePr w:type="firstRow">
      <w:rPr>
        <w:rFonts w:asciiTheme="majorHAnsi" w:eastAsiaTheme="majorEastAsia" w:hAnsiTheme="majorHAnsi" w:cstheme="majorBidi"/>
      </w:rPr>
      <w:tblPr/>
      <w:tcPr>
        <w:tcBorders>
          <w:top w:val="nil"/>
          <w:bottom w:val="single" w:sz="8" w:space="0" w:color="4B4F54" w:themeColor="accent2"/>
        </w:tcBorders>
      </w:tcPr>
    </w:tblStylePr>
    <w:tblStylePr w:type="lastRow">
      <w:rPr>
        <w:b/>
        <w:bCs/>
        <w:color w:val="003A5B" w:themeColor="text2"/>
      </w:rPr>
      <w:tblPr/>
      <w:tcPr>
        <w:tcBorders>
          <w:top w:val="single" w:sz="8" w:space="0" w:color="4B4F54" w:themeColor="accent2"/>
          <w:bottom w:val="single" w:sz="8" w:space="0" w:color="4B4F54" w:themeColor="accent2"/>
        </w:tcBorders>
      </w:tcPr>
    </w:tblStylePr>
    <w:tblStylePr w:type="firstCol">
      <w:rPr>
        <w:b/>
        <w:bCs/>
      </w:rPr>
    </w:tblStylePr>
    <w:tblStylePr w:type="lastCol">
      <w:rPr>
        <w:b/>
        <w:bCs/>
      </w:rPr>
      <w:tblPr/>
      <w:tcPr>
        <w:tcBorders>
          <w:top w:val="single" w:sz="8" w:space="0" w:color="4B4F54" w:themeColor="accent2"/>
          <w:bottom w:val="single" w:sz="8" w:space="0" w:color="4B4F54" w:themeColor="accent2"/>
        </w:tcBorders>
      </w:tcPr>
    </w:tblStylePr>
    <w:tblStylePr w:type="band1Vert">
      <w:tblPr/>
      <w:tcPr>
        <w:shd w:val="clear" w:color="auto" w:fill="D1D3D6" w:themeFill="accent2" w:themeFillTint="3F"/>
      </w:tcPr>
    </w:tblStylePr>
    <w:tblStylePr w:type="band2Horz">
      <w:tblPr/>
      <w:tcPr>
        <w:shd w:val="clear" w:color="auto" w:fill="D9D9D9" w:themeFill="background1" w:themeFillShade="D9"/>
      </w:tcPr>
    </w:tblStylePr>
  </w:style>
  <w:style w:type="paragraph" w:customStyle="1" w:styleId="ChartBodyLeft">
    <w:name w:val="Chart Body (Left)"/>
    <w:basedOn w:val="Normal"/>
    <w:qFormat/>
    <w:rsid w:val="00763A4E"/>
    <w:pPr>
      <w:spacing w:after="0"/>
    </w:pPr>
    <w:rPr>
      <w:bCs/>
      <w:color w:val="000000" w:themeColor="text1"/>
      <w:szCs w:val="20"/>
    </w:rPr>
  </w:style>
  <w:style w:type="paragraph" w:customStyle="1" w:styleId="Source">
    <w:name w:val="Source"/>
    <w:basedOn w:val="Normal"/>
    <w:qFormat/>
    <w:rsid w:val="00763A4E"/>
    <w:pPr>
      <w:spacing w:before="100"/>
    </w:pPr>
    <w:rPr>
      <w:color w:val="000000" w:themeColor="text1"/>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ascii="Open Sans" w:hAnsi="Open San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ascii="Open Sans" w:hAnsi="Open San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ascii="Open Sans" w:hAnsi="Open San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basedOn w:val="DefaultParagraphFont"/>
    <w:uiPriority w:val="99"/>
    <w:unhideWhenUsed/>
    <w:rsid w:val="00E477AD"/>
    <w:rPr>
      <w:color w:val="003B5C" w:themeColor="hyperlink"/>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themeColor="text2"/>
      <w:sz w:val="26"/>
      <w:szCs w:val="26"/>
      <w:lang w:val="fr-FR"/>
    </w:rPr>
  </w:style>
  <w:style w:type="table" w:styleId="LightList-Accent1">
    <w:name w:val="Light List Accent 1"/>
    <w:basedOn w:val="TableNormal"/>
    <w:uiPriority w:val="61"/>
    <w:rsid w:val="0090395A"/>
    <w:pPr>
      <w:spacing w:after="0" w:line="240" w:lineRule="auto"/>
    </w:pPr>
    <w:tblPr>
      <w:tblStyleRowBandSize w:val="1"/>
      <w:tblStyleColBandSize w:val="1"/>
      <w:tblBorders>
        <w:top w:val="single" w:sz="8" w:space="0" w:color="007680" w:themeColor="accent1"/>
        <w:left w:val="single" w:sz="8" w:space="0" w:color="007680" w:themeColor="accent1"/>
        <w:bottom w:val="single" w:sz="8" w:space="0" w:color="007680" w:themeColor="accent1"/>
        <w:right w:val="single" w:sz="8" w:space="0" w:color="007680" w:themeColor="accent1"/>
      </w:tblBorders>
    </w:tblPr>
    <w:tblStylePr w:type="firstRow">
      <w:pPr>
        <w:spacing w:before="0" w:after="0" w:line="240" w:lineRule="auto"/>
      </w:pPr>
      <w:rPr>
        <w:b/>
        <w:bCs/>
        <w:color w:val="FFFFFF" w:themeColor="background1"/>
      </w:rPr>
      <w:tblPr/>
      <w:tcPr>
        <w:shd w:val="clear" w:color="auto" w:fill="007680" w:themeFill="accent1"/>
      </w:tcPr>
    </w:tblStylePr>
    <w:tblStylePr w:type="lastRow">
      <w:pPr>
        <w:spacing w:before="0" w:after="0" w:line="240" w:lineRule="auto"/>
      </w:pPr>
      <w:rPr>
        <w:b/>
        <w:bCs/>
      </w:rPr>
      <w:tblPr/>
      <w:tcPr>
        <w:tcBorders>
          <w:top w:val="double" w:sz="6" w:space="0" w:color="007680" w:themeColor="accent1"/>
          <w:left w:val="single" w:sz="8" w:space="0" w:color="007680" w:themeColor="accent1"/>
          <w:bottom w:val="single" w:sz="8" w:space="0" w:color="007680" w:themeColor="accent1"/>
          <w:right w:val="single" w:sz="8" w:space="0" w:color="007680" w:themeColor="accent1"/>
        </w:tcBorders>
      </w:tcPr>
    </w:tblStylePr>
    <w:tblStylePr w:type="firstCol">
      <w:rPr>
        <w:b/>
        <w:bCs/>
      </w:rPr>
    </w:tblStylePr>
    <w:tblStylePr w:type="lastCol">
      <w:rPr>
        <w:b/>
        <w:bCs/>
      </w:rPr>
    </w:tblStylePr>
    <w:tblStylePr w:type="band1Vert">
      <w:tblPr/>
      <w:tcPr>
        <w:tcBorders>
          <w:top w:val="single" w:sz="8" w:space="0" w:color="007680" w:themeColor="accent1"/>
          <w:left w:val="single" w:sz="8" w:space="0" w:color="007680" w:themeColor="accent1"/>
          <w:bottom w:val="single" w:sz="8" w:space="0" w:color="007680" w:themeColor="accent1"/>
          <w:right w:val="single" w:sz="8" w:space="0" w:color="007680" w:themeColor="accent1"/>
        </w:tcBorders>
      </w:tcPr>
    </w:tblStylePr>
    <w:tblStylePr w:type="band1Horz">
      <w:tblPr/>
      <w:tcPr>
        <w:tcBorders>
          <w:top w:val="single" w:sz="8" w:space="0" w:color="007680" w:themeColor="accent1"/>
          <w:left w:val="single" w:sz="8" w:space="0" w:color="007680" w:themeColor="accent1"/>
          <w:bottom w:val="single" w:sz="8" w:space="0" w:color="007680" w:themeColor="accent1"/>
          <w:right w:val="single" w:sz="8" w:space="0" w:color="007680" w:themeColor="accent1"/>
        </w:tcBorders>
      </w:tcPr>
    </w:tblStylePr>
  </w:style>
  <w:style w:type="character" w:styleId="CommentReference">
    <w:name w:val="annotation reference"/>
    <w:basedOn w:val="DefaultParagraphFont"/>
    <w:uiPriority w:val="99"/>
    <w:semiHidden/>
    <w:unhideWhenUsed/>
    <w:rsid w:val="00AB072C"/>
    <w:rPr>
      <w:sz w:val="16"/>
      <w:szCs w:val="16"/>
    </w:rPr>
  </w:style>
  <w:style w:type="paragraph" w:styleId="CommentText">
    <w:name w:val="annotation text"/>
    <w:basedOn w:val="Normal"/>
    <w:link w:val="CommentTextChar"/>
    <w:uiPriority w:val="99"/>
    <w:unhideWhenUsed/>
    <w:rsid w:val="00AB072C"/>
    <w:rPr>
      <w:szCs w:val="20"/>
    </w:rPr>
  </w:style>
  <w:style w:type="character" w:customStyle="1" w:styleId="CommentTextChar">
    <w:name w:val="Comment Text Char"/>
    <w:basedOn w:val="DefaultParagraphFont"/>
    <w:link w:val="CommentText"/>
    <w:uiPriority w:val="99"/>
    <w:rsid w:val="00AB072C"/>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AB072C"/>
    <w:rPr>
      <w:b/>
      <w:bCs/>
    </w:rPr>
  </w:style>
  <w:style w:type="character" w:customStyle="1" w:styleId="CommentSubjectChar">
    <w:name w:val="Comment Subject Char"/>
    <w:basedOn w:val="CommentTextChar"/>
    <w:link w:val="CommentSubject"/>
    <w:uiPriority w:val="99"/>
    <w:semiHidden/>
    <w:rsid w:val="00AB072C"/>
    <w:rPr>
      <w:b/>
      <w:bCs/>
      <w:color w:val="595959" w:themeColor="text1" w:themeTint="A6"/>
      <w:sz w:val="20"/>
      <w:szCs w:val="20"/>
    </w:rPr>
  </w:style>
  <w:style w:type="paragraph" w:styleId="Revision">
    <w:name w:val="Revision"/>
    <w:hidden/>
    <w:uiPriority w:val="99"/>
    <w:semiHidden/>
    <w:rsid w:val="00DC47FC"/>
    <w:pPr>
      <w:spacing w:after="0" w:line="240" w:lineRule="auto"/>
    </w:pPr>
    <w:rPr>
      <w:color w:val="595959" w:themeColor="text1" w:themeTint="A6"/>
      <w:sz w:val="20"/>
    </w:rPr>
  </w:style>
  <w:style w:type="character" w:styleId="UnresolvedMention">
    <w:name w:val="Unresolved Mention"/>
    <w:basedOn w:val="DefaultParagraphFont"/>
    <w:uiPriority w:val="99"/>
    <w:semiHidden/>
    <w:unhideWhenUsed/>
    <w:rsid w:val="00BB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8700716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21169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malreviews@royalcollege.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DON~1\AppData\Local\Temp\template-for-governance-policies-1.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772F5DC76DA4408D63510D4E1C1B1B" ma:contentTypeVersion="4" ma:contentTypeDescription="Create a new document." ma:contentTypeScope="" ma:versionID="3024d35d508a416d9b04d5ba5acff237">
  <xsd:schema xmlns:xsd="http://www.w3.org/2001/XMLSchema" xmlns:xs="http://www.w3.org/2001/XMLSchema" xmlns:p="http://schemas.microsoft.com/office/2006/metadata/properties" xmlns:ns2="6ec64dc9-bd08-4876-a1e3-3a5539102532" targetNamespace="http://schemas.microsoft.com/office/2006/metadata/properties" ma:root="true" ma:fieldsID="5eeaf4b592781a2ed6e12553a99d5c7f" ns2:_="">
    <xsd:import namespace="6ec64dc9-bd08-4876-a1e3-3a5539102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4dc9-bd08-4876-a1e3-3a5539102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C5C4B-47F7-4EED-BF64-132E5443E80A}">
  <ds:schemaRefs>
    <ds:schemaRef ds:uri="http://schemas.openxmlformats.org/officeDocument/2006/bibliography"/>
  </ds:schemaRefs>
</ds:datastoreItem>
</file>

<file path=customXml/itemProps2.xml><?xml version="1.0" encoding="utf-8"?>
<ds:datastoreItem xmlns:ds="http://schemas.openxmlformats.org/officeDocument/2006/customXml" ds:itemID="{38D1C25C-8FEA-4496-95D4-29F30AC4C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F5B72D-3B12-4185-8C97-2B6889FD8D0C}">
  <ds:schemaRefs>
    <ds:schemaRef ds:uri="http://schemas.microsoft.com/sharepoint/v3/contenttype/forms"/>
  </ds:schemaRefs>
</ds:datastoreItem>
</file>

<file path=customXml/itemProps4.xml><?xml version="1.0" encoding="utf-8"?>
<ds:datastoreItem xmlns:ds="http://schemas.openxmlformats.org/officeDocument/2006/customXml" ds:itemID="{E59C0B24-C98C-42AA-A79E-2E5195B8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4dc9-bd08-4876-a1e3-3a5539102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template-for-governance-policies-1</Template>
  <TotalTime>12</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McDonell, Eryn</dc:creator>
  <cp:lastModifiedBy>McDonell, Eryn</cp:lastModifiedBy>
  <cp:revision>6</cp:revision>
  <cp:lastPrinted>2018-08-24T17:51:00Z</cp:lastPrinted>
  <dcterms:created xsi:type="dcterms:W3CDTF">2022-09-22T13:38:00Z</dcterms:created>
  <dcterms:modified xsi:type="dcterms:W3CDTF">2023-01-03T18:53:00Z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0x010100E5772F5DC76DA4408D63510D4E1C1B1B</vt:lpwstr>
  </property>
</Properties>
</file>