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097392" w:rsidRDefault="00B46140" w:rsidP="006A4987">
      <w:pPr>
        <w:pStyle w:val="Heading1"/>
        <w:rPr>
          <w:sz w:val="48"/>
          <w:lang w:val="fr-CA"/>
        </w:rPr>
      </w:pPr>
      <w:r w:rsidRPr="00097392">
        <w:rPr>
          <w:sz w:val="48"/>
          <w:lang w:val="fr-CA"/>
        </w:rPr>
        <w:t xml:space="preserve">Outils </w:t>
      </w:r>
      <w:r w:rsidR="00097392" w:rsidRPr="00097392">
        <w:rPr>
          <w:sz w:val="48"/>
          <w:lang w:val="fr-CA"/>
        </w:rPr>
        <w:t>d’évaluation 2</w:t>
      </w:r>
      <w:r w:rsidRPr="00097392">
        <w:rPr>
          <w:sz w:val="48"/>
          <w:lang w:val="fr-CA"/>
        </w:rPr>
        <w:t xml:space="preserve"> – </w:t>
      </w:r>
      <w:r w:rsidR="00097392" w:rsidRPr="00097392">
        <w:rPr>
          <w:sz w:val="48"/>
          <w:lang w:val="fr-CA"/>
        </w:rPr>
        <w:t>Formulaire de rencontre</w:t>
      </w:r>
    </w:p>
    <w:p w:rsidR="00097392" w:rsidRDefault="00B46140" w:rsidP="006A4987">
      <w:pPr>
        <w:pStyle w:val="Subtitle"/>
        <w:rPr>
          <w:lang w:val="fr-CA"/>
        </w:rPr>
      </w:pPr>
      <w:r w:rsidRPr="00B46140">
        <w:rPr>
          <w:lang w:val="fr-CA"/>
        </w:rPr>
        <w:t xml:space="preserve">CanMEDS </w:t>
      </w:r>
      <w:r w:rsidR="00097392">
        <w:rPr>
          <w:lang w:val="fr-CA"/>
        </w:rPr>
        <w:t xml:space="preserve">Collaborateur </w:t>
      </w:r>
    </w:p>
    <w:p w:rsidR="00097392" w:rsidRPr="00097392" w:rsidRDefault="00097392" w:rsidP="00097392">
      <w:pPr>
        <w:pStyle w:val="Heading2"/>
      </w:pPr>
      <w:r w:rsidRPr="00097392">
        <w:t>Formulaire de rencontre – rôle de collaborateur</w:t>
      </w:r>
      <w:r>
        <w:rPr>
          <w:rStyle w:val="EndnoteReference"/>
          <w:sz w:val="28"/>
          <w:szCs w:val="28"/>
        </w:rPr>
        <w:endnoteReference w:id="1"/>
      </w:r>
    </w:p>
    <w:p w:rsidR="00097392" w:rsidRPr="00097392" w:rsidRDefault="00097392" w:rsidP="00097392">
      <w:pPr>
        <w:rPr>
          <w:rStyle w:val="SubtleReference"/>
          <w:sz w:val="22"/>
          <w:lang w:val="fr-CA"/>
        </w:rPr>
      </w:pPr>
      <w:r w:rsidRPr="00097392">
        <w:rPr>
          <w:rStyle w:val="SubtleReference"/>
          <w:sz w:val="22"/>
          <w:lang w:val="fr-CA"/>
        </w:rPr>
        <w:t xml:space="preserve">Le contenu ci-dessous, rédigé à l’origine par S. Glover Takahashi, D. Martin et D. Richardson sous la gouverne du Collège royal des médecins et chirurgiens du Canada, est adapté de la Trousse pour l'enseignement et l'évaluation du rôle CanMEDS de collaborateur. Vous pouvez utiliser, reproduire et modifier ce contenu à vos propres fins non commerciales, à condition d’indiquer clairement vos changements et de créditer le Collège royal. Ce dernier peut révoquer cette autorisation à tout moment, par écrit. </w:t>
      </w:r>
    </w:p>
    <w:p w:rsidR="00097392" w:rsidRPr="00097392" w:rsidRDefault="00097392" w:rsidP="00097392">
      <w:pPr>
        <w:rPr>
          <w:rStyle w:val="SubtleReference"/>
          <w:b/>
          <w:sz w:val="22"/>
        </w:rPr>
      </w:pPr>
      <w:r w:rsidRPr="00097392">
        <w:rPr>
          <w:rStyle w:val="SubtleReference"/>
          <w:b/>
          <w:sz w:val="22"/>
          <w:lang w:val="fr-CA"/>
        </w:rPr>
        <w:t>REMARQUE : Le contenu ci-dessous peut avoir été modifié et ne plus représenter l’opinion ou le point de vue du Collège royal.</w:t>
      </w:r>
    </w:p>
    <w:p w:rsidR="00097392" w:rsidRPr="00097392" w:rsidRDefault="00097392" w:rsidP="00097392">
      <w:pPr>
        <w:pStyle w:val="Heading3"/>
        <w:rPr>
          <w:color w:val="003A5B" w:themeColor="text2"/>
          <w:lang w:val="fr-CA"/>
        </w:rPr>
      </w:pPr>
      <w:r w:rsidRPr="00097392">
        <w:rPr>
          <w:color w:val="003A5B" w:themeColor="text2"/>
          <w:lang w:val="fr-CA"/>
        </w:rPr>
        <w:t xml:space="preserve">Directives à l’intention de </w:t>
      </w:r>
      <w:proofErr w:type="gramStart"/>
      <w:r w:rsidRPr="00097392">
        <w:rPr>
          <w:color w:val="003A5B" w:themeColor="text2"/>
          <w:lang w:val="fr-CA"/>
        </w:rPr>
        <w:t>l’évaluateur  :</w:t>
      </w:r>
      <w:proofErr w:type="gramEnd"/>
    </w:p>
    <w:p w:rsidR="00097392" w:rsidRPr="00097392" w:rsidRDefault="00097392" w:rsidP="00097392">
      <w:pPr>
        <w:pStyle w:val="ListParagraph"/>
      </w:pPr>
      <w:r w:rsidRPr="00097392">
        <w:rPr>
          <w:lang w:val="fr-CA"/>
        </w:rPr>
        <w:t xml:space="preserve">Les compétences en collaboration peuvent s’acquérir avec le temps. </w:t>
      </w:r>
      <w:proofErr w:type="spellStart"/>
      <w:r w:rsidRPr="00097392">
        <w:t>Aidez</w:t>
      </w:r>
      <w:proofErr w:type="spellEnd"/>
      <w:r w:rsidRPr="00097392">
        <w:t xml:space="preserve"> </w:t>
      </w:r>
      <w:proofErr w:type="spellStart"/>
      <w:r w:rsidRPr="00097392">
        <w:t>l’apprenant</w:t>
      </w:r>
      <w:proofErr w:type="spellEnd"/>
      <w:r w:rsidRPr="00097392">
        <w:t xml:space="preserve"> à </w:t>
      </w:r>
      <w:proofErr w:type="spellStart"/>
      <w:r w:rsidRPr="00097392">
        <w:t>mieux</w:t>
      </w:r>
      <w:proofErr w:type="spellEnd"/>
      <w:r w:rsidRPr="00097392">
        <w:t xml:space="preserve"> </w:t>
      </w:r>
      <w:proofErr w:type="spellStart"/>
      <w:r w:rsidRPr="00097392">
        <w:t>comprendre</w:t>
      </w:r>
      <w:proofErr w:type="spellEnd"/>
      <w:r w:rsidRPr="00097392">
        <w:t xml:space="preserve"> son </w:t>
      </w:r>
      <w:proofErr w:type="spellStart"/>
      <w:r w:rsidRPr="00097392">
        <w:t>niveau</w:t>
      </w:r>
      <w:proofErr w:type="spellEnd"/>
      <w:r w:rsidRPr="00097392">
        <w:t xml:space="preserve"> </w:t>
      </w:r>
      <w:proofErr w:type="spellStart"/>
      <w:r w:rsidRPr="00097392">
        <w:t>d’expertise</w:t>
      </w:r>
      <w:proofErr w:type="spellEnd"/>
      <w:r w:rsidRPr="00097392">
        <w:t xml:space="preserve"> </w:t>
      </w:r>
      <w:proofErr w:type="spellStart"/>
      <w:r w:rsidRPr="00097392">
        <w:t>en</w:t>
      </w:r>
      <w:proofErr w:type="spellEnd"/>
      <w:r w:rsidRPr="00097392">
        <w:t xml:space="preserve"> collaboration </w:t>
      </w:r>
      <w:proofErr w:type="spellStart"/>
      <w:r w:rsidRPr="00097392">
        <w:t>en</w:t>
      </w:r>
      <w:proofErr w:type="spellEnd"/>
      <w:r w:rsidRPr="00097392">
        <w:t xml:space="preserve"> </w:t>
      </w:r>
      <w:proofErr w:type="spellStart"/>
      <w:r w:rsidRPr="00097392">
        <w:t>lui</w:t>
      </w:r>
      <w:proofErr w:type="spellEnd"/>
      <w:r w:rsidRPr="00097392">
        <w:t xml:space="preserve"> </w:t>
      </w:r>
      <w:proofErr w:type="gramStart"/>
      <w:r w:rsidRPr="00097392">
        <w:t>demandant  de</w:t>
      </w:r>
      <w:proofErr w:type="gramEnd"/>
      <w:r w:rsidRPr="00097392">
        <w:t xml:space="preserve"> </w:t>
      </w:r>
      <w:proofErr w:type="spellStart"/>
      <w:r w:rsidRPr="00097392">
        <w:t>remplir</w:t>
      </w:r>
      <w:proofErr w:type="spellEnd"/>
      <w:r w:rsidRPr="00097392">
        <w:t xml:space="preserve"> le </w:t>
      </w:r>
      <w:proofErr w:type="spellStart"/>
      <w:r w:rsidRPr="00097392">
        <w:t>formulaire</w:t>
      </w:r>
      <w:proofErr w:type="spellEnd"/>
      <w:r w:rsidRPr="00097392">
        <w:t xml:space="preserve"> ci-dessous.</w:t>
      </w:r>
    </w:p>
    <w:p w:rsidR="00097392" w:rsidRDefault="00097392" w:rsidP="00097392">
      <w:pPr>
        <w:pStyle w:val="ListParagraph"/>
      </w:pPr>
      <w:proofErr w:type="spellStart"/>
      <w:r w:rsidRPr="00097392">
        <w:t>Offrez-lui</w:t>
      </w:r>
      <w:proofErr w:type="spellEnd"/>
      <w:r w:rsidRPr="00097392">
        <w:t xml:space="preserve"> </w:t>
      </w:r>
      <w:proofErr w:type="spellStart"/>
      <w:r w:rsidRPr="00097392">
        <w:t>ensuite</w:t>
      </w:r>
      <w:proofErr w:type="spellEnd"/>
      <w:r w:rsidRPr="00097392">
        <w:t xml:space="preserve"> </w:t>
      </w:r>
      <w:proofErr w:type="spellStart"/>
      <w:r w:rsidRPr="00097392">
        <w:t>votre</w:t>
      </w:r>
      <w:proofErr w:type="spellEnd"/>
      <w:r w:rsidRPr="00097392">
        <w:t xml:space="preserve"> </w:t>
      </w:r>
      <w:proofErr w:type="spellStart"/>
      <w:r w:rsidRPr="00097392">
        <w:t>rétroaction</w:t>
      </w:r>
      <w:proofErr w:type="spellEnd"/>
      <w:r w:rsidRPr="00097392">
        <w:t xml:space="preserve"> et </w:t>
      </w:r>
      <w:proofErr w:type="spellStart"/>
      <w:r w:rsidRPr="00097392">
        <w:t>vos</w:t>
      </w:r>
      <w:proofErr w:type="spellEnd"/>
      <w:r w:rsidRPr="00097392">
        <w:t xml:space="preserve"> </w:t>
      </w:r>
      <w:proofErr w:type="spellStart"/>
      <w:r w:rsidRPr="00097392">
        <w:t>commentaires</w:t>
      </w:r>
      <w:proofErr w:type="spellEnd"/>
      <w:r w:rsidRPr="00097392">
        <w:t xml:space="preserve"> </w:t>
      </w:r>
      <w:proofErr w:type="spellStart"/>
      <w:r w:rsidRPr="00097392">
        <w:t>d’évaluation</w:t>
      </w:r>
      <w:proofErr w:type="spellEnd"/>
      <w:r w:rsidRPr="00097392">
        <w:t xml:space="preserve"> dans des </w:t>
      </w:r>
      <w:proofErr w:type="spellStart"/>
      <w:r w:rsidRPr="00097392">
        <w:t>délais</w:t>
      </w:r>
      <w:proofErr w:type="spellEnd"/>
      <w:r w:rsidRPr="00097392">
        <w:t xml:space="preserve"> </w:t>
      </w:r>
      <w:proofErr w:type="spellStart"/>
      <w:r w:rsidRPr="00097392">
        <w:t>raisonnables</w:t>
      </w:r>
      <w:proofErr w:type="spellEnd"/>
      <w:r w:rsidRPr="00097392">
        <w:t>.</w:t>
      </w:r>
    </w:p>
    <w:p w:rsidR="00097392" w:rsidRPr="00097392" w:rsidRDefault="00097392" w:rsidP="00097392"/>
    <w:tbl>
      <w:tblPr>
        <w:tblW w:w="0" w:type="auto"/>
        <w:tblInd w:w="72" w:type="dxa"/>
        <w:tblLayout w:type="fixed"/>
        <w:tblCellMar>
          <w:left w:w="0" w:type="dxa"/>
          <w:right w:w="0" w:type="dxa"/>
        </w:tblCellMar>
        <w:tblLook w:val="0000" w:firstRow="0" w:lastRow="0" w:firstColumn="0" w:lastColumn="0" w:noHBand="0" w:noVBand="0"/>
      </w:tblPr>
      <w:tblGrid>
        <w:gridCol w:w="2016"/>
        <w:gridCol w:w="54"/>
        <w:gridCol w:w="1962"/>
        <w:gridCol w:w="18"/>
        <w:gridCol w:w="1980"/>
        <w:gridCol w:w="18"/>
        <w:gridCol w:w="2016"/>
        <w:gridCol w:w="36"/>
        <w:gridCol w:w="900"/>
        <w:gridCol w:w="1080"/>
        <w:gridCol w:w="720"/>
      </w:tblGrid>
      <w:tr w:rsidR="00097392" w:rsidRPr="0030082E" w:rsidTr="00CB013C">
        <w:trPr>
          <w:trHeight w:val="60"/>
        </w:trPr>
        <w:tc>
          <w:tcPr>
            <w:tcW w:w="6048" w:type="dxa"/>
            <w:gridSpan w:val="6"/>
            <w:tcBorders>
              <w:top w:val="single" w:sz="6" w:space="0" w:color="000000"/>
              <w:left w:val="single" w:sz="6" w:space="0" w:color="000000"/>
              <w:bottom w:val="single" w:sz="6" w:space="0" w:color="000000"/>
              <w:right w:val="single" w:sz="6" w:space="0" w:color="000000"/>
            </w:tcBorders>
            <w:tcMar>
              <w:top w:w="72" w:type="dxa"/>
              <w:left w:w="72" w:type="dxa"/>
              <w:bottom w:w="180" w:type="dxa"/>
              <w:right w:w="72" w:type="dxa"/>
            </w:tcMar>
          </w:tcPr>
          <w:p w:rsidR="00097392" w:rsidRPr="0030082E" w:rsidRDefault="00097392" w:rsidP="00097392">
            <w:pPr>
              <w:pStyle w:val="ChartBodyLeft"/>
            </w:pPr>
            <w:r>
              <w:t>Nom</w:t>
            </w:r>
            <w:r w:rsidRPr="0030082E">
              <w:t>:</w:t>
            </w:r>
          </w:p>
        </w:tc>
        <w:tc>
          <w:tcPr>
            <w:tcW w:w="4752" w:type="dxa"/>
            <w:gridSpan w:val="5"/>
            <w:tcBorders>
              <w:top w:val="single" w:sz="6" w:space="0" w:color="000000"/>
              <w:left w:val="single" w:sz="6" w:space="0" w:color="000000"/>
              <w:bottom w:val="single" w:sz="6" w:space="0" w:color="000000"/>
              <w:right w:val="single" w:sz="6" w:space="0" w:color="000000"/>
            </w:tcBorders>
            <w:tcMar>
              <w:top w:w="72" w:type="dxa"/>
              <w:left w:w="72" w:type="dxa"/>
              <w:bottom w:w="180" w:type="dxa"/>
              <w:right w:w="72" w:type="dxa"/>
            </w:tcMar>
          </w:tcPr>
          <w:p w:rsidR="00097392" w:rsidRPr="0030082E" w:rsidRDefault="00097392" w:rsidP="00097392">
            <w:pPr>
              <w:pStyle w:val="ChartBodyLeft"/>
            </w:pPr>
            <w:proofErr w:type="spellStart"/>
            <w:r>
              <w:t>Année</w:t>
            </w:r>
            <w:proofErr w:type="spellEnd"/>
            <w:r>
              <w:t xml:space="preserve"> </w:t>
            </w:r>
            <w:proofErr w:type="spellStart"/>
            <w:r>
              <w:t>d’études</w:t>
            </w:r>
            <w:proofErr w:type="spellEnd"/>
            <w:r>
              <w:t xml:space="preserve"> </w:t>
            </w:r>
            <w:proofErr w:type="spellStart"/>
            <w:r>
              <w:t>postdoctorales</w:t>
            </w:r>
            <w:proofErr w:type="spellEnd"/>
            <w:r w:rsidRPr="0030082E">
              <w:t>:</w:t>
            </w:r>
          </w:p>
        </w:tc>
      </w:tr>
      <w:tr w:rsidR="00097392" w:rsidRPr="004F5D5D" w:rsidTr="00CB013C">
        <w:trPr>
          <w:trHeight w:val="60"/>
        </w:trPr>
        <w:tc>
          <w:tcPr>
            <w:tcW w:w="10800" w:type="dxa"/>
            <w:gridSpan w:val="11"/>
            <w:tcBorders>
              <w:top w:val="single" w:sz="6"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4F5D5D" w:rsidRDefault="00097392" w:rsidP="00097392">
            <w:pPr>
              <w:pStyle w:val="ChartHead"/>
            </w:pPr>
            <w:r w:rsidRPr="00B02B34">
              <w:t>Communication inter/</w:t>
            </w:r>
            <w:proofErr w:type="spellStart"/>
            <w:r w:rsidRPr="00B02B34">
              <w:t>intraprofessionnelle</w:t>
            </w:r>
            <w:proofErr w:type="spellEnd"/>
          </w:p>
        </w:tc>
      </w:tr>
      <w:tr w:rsidR="00097392" w:rsidRPr="00097392" w:rsidTr="00CB013C">
        <w:trPr>
          <w:trHeight w:val="395"/>
        </w:trPr>
        <w:tc>
          <w:tcPr>
            <w:tcW w:w="2016"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097392" w:rsidRPr="00097392" w:rsidRDefault="00097392" w:rsidP="00097392">
            <w:pPr>
              <w:pStyle w:val="ChartBodyCentered"/>
            </w:pPr>
            <w:r w:rsidRPr="00097392">
              <w:t>1</w:t>
            </w: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97392" w:rsidRPr="00097392" w:rsidRDefault="00097392" w:rsidP="00097392">
            <w:pPr>
              <w:pStyle w:val="ChartBodyCentered"/>
            </w:pPr>
            <w:r w:rsidRPr="00097392">
              <w:t>2</w:t>
            </w: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97392" w:rsidRPr="00097392" w:rsidRDefault="00097392" w:rsidP="00097392">
            <w:pPr>
              <w:pStyle w:val="ChartBodyCentered"/>
            </w:pPr>
            <w:r w:rsidRPr="00097392">
              <w:t>3</w:t>
            </w:r>
          </w:p>
        </w:tc>
        <w:tc>
          <w:tcPr>
            <w:tcW w:w="20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97392" w:rsidRPr="00097392" w:rsidRDefault="00097392" w:rsidP="00097392">
            <w:pPr>
              <w:pStyle w:val="ChartBodyCentered"/>
            </w:pPr>
            <w:r w:rsidRPr="00097392">
              <w:t>4</w:t>
            </w: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97392" w:rsidRPr="00097392" w:rsidRDefault="00097392" w:rsidP="00097392">
            <w:pPr>
              <w:pStyle w:val="ChartBodyCentered"/>
            </w:pPr>
            <w:r w:rsidRPr="00097392">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097392" w:rsidRPr="00097392" w:rsidRDefault="00097392" w:rsidP="00097392">
            <w:pPr>
              <w:pStyle w:val="ChartBodyCentered"/>
            </w:pPr>
            <w:r w:rsidRPr="00097392">
              <w:t>s/o</w:t>
            </w:r>
          </w:p>
        </w:tc>
      </w:tr>
      <w:tr w:rsidR="00097392" w:rsidRPr="00097392" w:rsidTr="00CB013C">
        <w:trPr>
          <w:trHeight w:val="60"/>
        </w:trPr>
        <w:tc>
          <w:tcPr>
            <w:tcW w:w="2016"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sz w:val="18"/>
                <w:szCs w:val="18"/>
                <w:lang w:val="fr-CA"/>
              </w:rPr>
            </w:pPr>
            <w:r w:rsidRPr="00097392">
              <w:rPr>
                <w:sz w:val="18"/>
                <w:szCs w:val="18"/>
                <w:lang w:val="fr-CA"/>
              </w:rPr>
              <w:t>Est presque impoli. Attitude autoritaire ou irrévérencieuse. Trop passif. Est contradictoire et condescendant dans sa rétroaction.</w:t>
            </w: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sz w:val="18"/>
                <w:szCs w:val="18"/>
                <w:lang w:val="fr-CA"/>
              </w:rPr>
            </w:pP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sz w:val="18"/>
                <w:szCs w:val="18"/>
                <w:lang w:val="fr-CA"/>
              </w:rPr>
            </w:pPr>
            <w:r w:rsidRPr="00097392">
              <w:rPr>
                <w:sz w:val="18"/>
                <w:szCs w:val="18"/>
                <w:lang w:val="fr-CA"/>
              </w:rPr>
              <w:t>Communique de façon claire et respectueuse et au bon moment. Répond aux demandes des autres et accepte volontiers d’offrir de la rétroaction.</w:t>
            </w:r>
          </w:p>
        </w:tc>
        <w:tc>
          <w:tcPr>
            <w:tcW w:w="20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sz w:val="18"/>
                <w:szCs w:val="18"/>
                <w:lang w:val="fr-CA"/>
              </w:rPr>
            </w:pP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sz w:val="18"/>
                <w:szCs w:val="18"/>
                <w:lang w:val="fr-CA"/>
              </w:rPr>
            </w:pPr>
            <w:r w:rsidRPr="00097392">
              <w:rPr>
                <w:sz w:val="18"/>
                <w:szCs w:val="18"/>
                <w:lang w:val="fr-CA"/>
              </w:rPr>
              <w:t>Travaille habilement avec les autres à la coordination des soins.</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097392" w:rsidRDefault="00097392" w:rsidP="00097392">
            <w:pPr>
              <w:pStyle w:val="ChartBodyLeft"/>
              <w:rPr>
                <w:sz w:val="18"/>
                <w:szCs w:val="18"/>
                <w:lang w:val="fr-CA"/>
              </w:rPr>
            </w:pPr>
          </w:p>
        </w:tc>
      </w:tr>
      <w:tr w:rsidR="00097392" w:rsidRPr="00097392" w:rsidTr="00CB013C">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Head"/>
              <w:rPr>
                <w:lang w:val="fr-CA"/>
              </w:rPr>
            </w:pPr>
            <w:r w:rsidRPr="00097392">
              <w:rPr>
                <w:lang w:val="fr-CA"/>
              </w:rPr>
              <w:t>Collaboration avec le patient et la famille</w:t>
            </w:r>
          </w:p>
        </w:tc>
      </w:tr>
      <w:tr w:rsidR="00097392" w:rsidRPr="0030082E" w:rsidTr="00CB013C">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4</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30082E" w:rsidRDefault="00097392" w:rsidP="00097392">
            <w:pPr>
              <w:pStyle w:val="ChartBodyCentered"/>
            </w:pPr>
            <w:r>
              <w:t>s/o</w:t>
            </w:r>
          </w:p>
        </w:tc>
      </w:tr>
      <w:tr w:rsidR="00097392" w:rsidRPr="00097392" w:rsidTr="00CB013C">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r w:rsidRPr="00097392">
              <w:rPr>
                <w:lang w:val="fr-CA"/>
              </w:rPr>
              <w:t xml:space="preserve">N’informe pas le patient et la famille des plans établis. Ne </w:t>
            </w:r>
            <w:r w:rsidRPr="00097392">
              <w:rPr>
                <w:lang w:val="fr-CA"/>
              </w:rPr>
              <w:lastRenderedPageBreak/>
              <w:t xml:space="preserve">cherche pas à connaître la perspective des patients et familles. </w:t>
            </w:r>
            <w:proofErr w:type="spellStart"/>
            <w:r w:rsidRPr="00E56B82">
              <w:t>Fournit</w:t>
            </w:r>
            <w:proofErr w:type="spellEnd"/>
            <w:r w:rsidRPr="00E56B82">
              <w:t xml:space="preserve"> </w:t>
            </w:r>
            <w:proofErr w:type="spellStart"/>
            <w:r w:rsidRPr="00E56B82">
              <w:t>une</w:t>
            </w:r>
            <w:proofErr w:type="spellEnd"/>
            <w:r w:rsidRPr="00E56B82">
              <w:t xml:space="preserve"> information </w:t>
            </w:r>
            <w:proofErr w:type="spellStart"/>
            <w:r w:rsidRPr="00E56B82">
              <w:t>erronée</w:t>
            </w:r>
            <w:proofErr w:type="spellEnd"/>
            <w:r w:rsidRPr="00E56B82">
              <w:t>.</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 xml:space="preserve">Sait à quel moment discuter/organiser avec les patients. </w:t>
            </w:r>
            <w:r w:rsidRPr="00097392">
              <w:rPr>
                <w:lang w:val="fr-CA"/>
              </w:rPr>
              <w:lastRenderedPageBreak/>
              <w:t>Sait à quel moment rencontrer les patients et familles. Encourage la prise de décisions partagée. Fournit de l’information claire aux patients/familles lors des rencontres. Prend des décisions en collaboration. Fournit de l’information claire au patient.</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Coor</w:t>
            </w:r>
            <w:bookmarkStart w:id="0" w:name="_GoBack"/>
            <w:bookmarkEnd w:id="0"/>
            <w:r w:rsidRPr="00097392">
              <w:rPr>
                <w:lang w:val="fr-CA"/>
              </w:rPr>
              <w:t xml:space="preserve">donne et dirige de façon autonome les </w:t>
            </w:r>
            <w:r w:rsidRPr="00097392">
              <w:rPr>
                <w:lang w:val="fr-CA"/>
              </w:rPr>
              <w:lastRenderedPageBreak/>
              <w:t>réunions avec les patients et familles. Gère et négocie les divergences avec les patients et familles en toute confidentialité.</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097392" w:rsidRDefault="00097392" w:rsidP="00097392">
            <w:pPr>
              <w:pStyle w:val="ChartBodyLeft"/>
              <w:rPr>
                <w:lang w:val="fr-CA"/>
              </w:rPr>
            </w:pPr>
          </w:p>
        </w:tc>
      </w:tr>
      <w:tr w:rsidR="00097392" w:rsidRPr="004F5D5D" w:rsidTr="00CB013C">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4F5D5D" w:rsidRDefault="00097392" w:rsidP="00097392">
            <w:pPr>
              <w:pStyle w:val="ChartHead"/>
            </w:pPr>
            <w:r w:rsidRPr="00852A46">
              <w:t xml:space="preserve">Planification des </w:t>
            </w:r>
            <w:proofErr w:type="spellStart"/>
            <w:r w:rsidRPr="00852A46">
              <w:t>congés</w:t>
            </w:r>
            <w:proofErr w:type="spellEnd"/>
          </w:p>
        </w:tc>
      </w:tr>
      <w:tr w:rsidR="00097392" w:rsidRPr="0030082E" w:rsidTr="00CB013C">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4</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30082E" w:rsidRDefault="00097392" w:rsidP="00097392">
            <w:pPr>
              <w:pStyle w:val="ChartBodyCentered"/>
            </w:pPr>
            <w:r>
              <w:t>s/o</w:t>
            </w:r>
          </w:p>
        </w:tc>
      </w:tr>
      <w:tr w:rsidR="00097392" w:rsidRPr="00E56B82" w:rsidTr="00CB013C">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Est passif. N’a pas d’initiative. Connaît mal les ressources de l’équipe et celles offertes dans la collectivité.</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Default="00097392" w:rsidP="00097392">
            <w:pPr>
              <w:pStyle w:val="ChartBodyLeft"/>
            </w:pPr>
            <w:r w:rsidRPr="00097392">
              <w:rPr>
                <w:lang w:val="fr-CA"/>
              </w:rPr>
              <w:t xml:space="preserve">Cherche activement à obtenir des ressources en consultation avec le patient, l’équipe et les services communautaires. </w:t>
            </w:r>
            <w:proofErr w:type="spellStart"/>
            <w:r w:rsidRPr="00E56B82">
              <w:t>Sait</w:t>
            </w:r>
            <w:proofErr w:type="spellEnd"/>
            <w:r w:rsidRPr="00E56B82">
              <w:t xml:space="preserve"> </w:t>
            </w:r>
            <w:proofErr w:type="spellStart"/>
            <w:r w:rsidRPr="00E56B82">
              <w:t>établir</w:t>
            </w:r>
            <w:proofErr w:type="spellEnd"/>
            <w:r w:rsidRPr="00E56B82">
              <w:t xml:space="preserve"> un plan de </w:t>
            </w:r>
            <w:proofErr w:type="spellStart"/>
            <w:r w:rsidRPr="00E56B82">
              <w:t>congé</w:t>
            </w:r>
            <w:proofErr w:type="spellEnd"/>
            <w:r w:rsidRPr="00E56B82">
              <w:t>.</w:t>
            </w:r>
          </w:p>
          <w:p w:rsidR="00097392" w:rsidRPr="00E56B82" w:rsidRDefault="00097392" w:rsidP="00097392">
            <w:pPr>
              <w:pStyle w:val="ChartBodyLeft"/>
            </w:pP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r w:rsidRPr="00097392">
              <w:rPr>
                <w:lang w:val="fr-CA"/>
              </w:rPr>
              <w:t xml:space="preserve">Gère et coordonne de façon autonome des plans de congé ainsi que les suivis nécessaires. </w:t>
            </w:r>
            <w:proofErr w:type="spellStart"/>
            <w:r w:rsidRPr="00E56B82">
              <w:t>Délègue</w:t>
            </w:r>
            <w:proofErr w:type="spellEnd"/>
            <w:r w:rsidRPr="00E56B82">
              <w:t xml:space="preserve"> les </w:t>
            </w:r>
            <w:proofErr w:type="spellStart"/>
            <w:r w:rsidRPr="00E56B82">
              <w:t>responsabilités</w:t>
            </w:r>
            <w:proofErr w:type="spellEnd"/>
            <w:r w:rsidRPr="00E56B82">
              <w:t>.</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E56B82" w:rsidRDefault="00097392" w:rsidP="00097392">
            <w:pPr>
              <w:pStyle w:val="ChartBodyLeft"/>
            </w:pPr>
          </w:p>
        </w:tc>
      </w:tr>
      <w:tr w:rsidR="00097392" w:rsidRPr="004F5D5D" w:rsidTr="00CB013C">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4F5D5D" w:rsidRDefault="00097392" w:rsidP="00097392">
            <w:pPr>
              <w:pStyle w:val="ChartHead"/>
            </w:pPr>
            <w:r>
              <w:t xml:space="preserve">Réunion </w:t>
            </w:r>
            <w:proofErr w:type="spellStart"/>
            <w:r>
              <w:t>d’équipe</w:t>
            </w:r>
            <w:proofErr w:type="spellEnd"/>
          </w:p>
        </w:tc>
      </w:tr>
      <w:tr w:rsidR="00097392" w:rsidRPr="0030082E" w:rsidTr="00CB013C">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4</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30082E" w:rsidRDefault="00097392" w:rsidP="00097392">
            <w:pPr>
              <w:pStyle w:val="ChartBodyCentered"/>
            </w:pPr>
            <w:r>
              <w:t>s/o</w:t>
            </w:r>
          </w:p>
        </w:tc>
      </w:tr>
      <w:tr w:rsidR="00097392" w:rsidRPr="00E56B82" w:rsidTr="00CB013C">
        <w:trPr>
          <w:trHeight w:val="3023"/>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Toujours en retard ou absent. Comportement perturbateur et qui ne contribue pas au travail d’équipe.</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r w:rsidRPr="000D2A74">
              <w:rPr>
                <w:lang w:val="fr-CA"/>
              </w:rPr>
              <w:t xml:space="preserve">Participe et </w:t>
            </w:r>
            <w:proofErr w:type="spellStart"/>
            <w:r w:rsidRPr="000D2A74">
              <w:rPr>
                <w:lang w:val="fr-CA"/>
              </w:rPr>
              <w:t>contribute</w:t>
            </w:r>
            <w:proofErr w:type="spellEnd"/>
            <w:r w:rsidRPr="000D2A74">
              <w:rPr>
                <w:lang w:val="fr-CA"/>
              </w:rPr>
              <w:t xml:space="preserve"> de façon active. </w:t>
            </w:r>
            <w:r w:rsidRPr="00097392">
              <w:rPr>
                <w:lang w:val="fr-CA"/>
              </w:rPr>
              <w:t xml:space="preserve">Exécute les tâches </w:t>
            </w:r>
            <w:proofErr w:type="spellStart"/>
            <w:r w:rsidRPr="00097392">
              <w:rPr>
                <w:lang w:val="fr-CA"/>
              </w:rPr>
              <w:t>assignees</w:t>
            </w:r>
            <w:proofErr w:type="spellEnd"/>
            <w:r w:rsidRPr="00097392">
              <w:rPr>
                <w:lang w:val="fr-CA"/>
              </w:rPr>
              <w:t xml:space="preserve"> de façon fiable. </w:t>
            </w:r>
            <w:proofErr w:type="spellStart"/>
            <w:r w:rsidRPr="00E56B82">
              <w:t>Peut</w:t>
            </w:r>
            <w:proofErr w:type="spellEnd"/>
            <w:r w:rsidRPr="00E56B82">
              <w:t xml:space="preserve"> </w:t>
            </w:r>
            <w:proofErr w:type="spellStart"/>
            <w:r w:rsidRPr="00E56B82">
              <w:t>coprésider</w:t>
            </w:r>
            <w:proofErr w:type="spellEnd"/>
            <w:r w:rsidRPr="00E56B82">
              <w:t xml:space="preserve"> </w:t>
            </w:r>
            <w:proofErr w:type="spellStart"/>
            <w:r w:rsidRPr="00E56B82">
              <w:t>ou</w:t>
            </w:r>
            <w:proofErr w:type="spellEnd"/>
            <w:r w:rsidRPr="00E56B82">
              <w:t xml:space="preserve"> </w:t>
            </w:r>
            <w:proofErr w:type="spellStart"/>
            <w:r w:rsidRPr="00E56B82">
              <w:t>codiriger</w:t>
            </w:r>
            <w:proofErr w:type="spellEnd"/>
            <w:r w:rsidRPr="00E56B82">
              <w:t xml:space="preserve"> les </w:t>
            </w:r>
            <w:proofErr w:type="spellStart"/>
            <w:r w:rsidRPr="00E56B82">
              <w:t>réunions</w:t>
            </w:r>
            <w:proofErr w:type="spellEnd"/>
            <w:r w:rsidRPr="00E56B82">
              <w:t>.</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Default="00097392" w:rsidP="00097392">
            <w:pPr>
              <w:pStyle w:val="ChartBodyLeft"/>
            </w:pPr>
            <w:r w:rsidRPr="00097392">
              <w:rPr>
                <w:lang w:val="fr-CA"/>
              </w:rPr>
              <w:t xml:space="preserve">Sait diriger et coordonner les </w:t>
            </w:r>
            <w:proofErr w:type="spellStart"/>
            <w:r w:rsidRPr="00097392">
              <w:rPr>
                <w:lang w:val="fr-CA"/>
              </w:rPr>
              <w:t>rénions</w:t>
            </w:r>
            <w:proofErr w:type="spellEnd"/>
            <w:r w:rsidRPr="00097392">
              <w:rPr>
                <w:lang w:val="fr-CA"/>
              </w:rPr>
              <w:t xml:space="preserve"> et les suivis avec autonomie. Joue un rôle actif pour que les réunions se déroulent efficacement. </w:t>
            </w:r>
            <w:proofErr w:type="spellStart"/>
            <w:r w:rsidRPr="00E56B82">
              <w:t>Favorise</w:t>
            </w:r>
            <w:proofErr w:type="spellEnd"/>
            <w:r w:rsidRPr="00E56B82">
              <w:t xml:space="preserve"> le consensus, </w:t>
            </w:r>
            <w:proofErr w:type="spellStart"/>
            <w:r w:rsidRPr="00E56B82">
              <w:t>résout</w:t>
            </w:r>
            <w:proofErr w:type="spellEnd"/>
            <w:r w:rsidRPr="00E56B82">
              <w:t xml:space="preserve"> les divergences et </w:t>
            </w:r>
            <w:proofErr w:type="spellStart"/>
            <w:r w:rsidRPr="00E56B82">
              <w:t>fournit</w:t>
            </w:r>
            <w:proofErr w:type="spellEnd"/>
            <w:r w:rsidRPr="00E56B82">
              <w:t xml:space="preserve"> </w:t>
            </w:r>
            <w:proofErr w:type="spellStart"/>
            <w:r w:rsidRPr="00E56B82">
              <w:t>l’orientation</w:t>
            </w:r>
            <w:proofErr w:type="spellEnd"/>
          </w:p>
          <w:p w:rsidR="00097392" w:rsidRDefault="00097392" w:rsidP="00097392">
            <w:pPr>
              <w:pStyle w:val="ChartBodyLeft"/>
            </w:pPr>
          </w:p>
          <w:p w:rsidR="00097392" w:rsidRDefault="00097392" w:rsidP="00097392">
            <w:pPr>
              <w:pStyle w:val="ChartBodyLeft"/>
            </w:pPr>
          </w:p>
          <w:p w:rsidR="00097392" w:rsidRPr="00E56B82" w:rsidRDefault="00097392" w:rsidP="00097392">
            <w:pPr>
              <w:pStyle w:val="ChartBodyLeft"/>
            </w:pP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E56B82" w:rsidRDefault="00097392" w:rsidP="00097392">
            <w:pPr>
              <w:pStyle w:val="ChartBodyLeft"/>
            </w:pPr>
          </w:p>
        </w:tc>
      </w:tr>
      <w:tr w:rsidR="00097392" w:rsidRPr="00097392" w:rsidTr="00CB013C">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Head"/>
              <w:rPr>
                <w:lang w:val="fr-CA"/>
              </w:rPr>
            </w:pPr>
            <w:r w:rsidRPr="00097392">
              <w:rPr>
                <w:lang w:val="fr-CA"/>
              </w:rPr>
              <w:lastRenderedPageBreak/>
              <w:t>Gestion des divergences et des conflits</w:t>
            </w:r>
          </w:p>
        </w:tc>
      </w:tr>
      <w:tr w:rsidR="00097392" w:rsidRPr="0030082E" w:rsidTr="00CB013C">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4</w:t>
            </w:r>
          </w:p>
        </w:tc>
        <w:tc>
          <w:tcPr>
            <w:tcW w:w="9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5</w:t>
            </w:r>
          </w:p>
        </w:tc>
        <w:tc>
          <w:tcPr>
            <w:tcW w:w="180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30082E" w:rsidRDefault="00097392" w:rsidP="00097392">
            <w:pPr>
              <w:pStyle w:val="ChartBodyCentered"/>
            </w:pPr>
            <w:r>
              <w:t>s</w:t>
            </w:r>
            <w:r w:rsidRPr="0030082E">
              <w:t>/</w:t>
            </w:r>
            <w:r>
              <w:t>o</w:t>
            </w:r>
          </w:p>
        </w:tc>
      </w:tr>
      <w:tr w:rsidR="00097392" w:rsidRPr="00097392" w:rsidTr="00CB013C">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r w:rsidRPr="00097392">
              <w:rPr>
                <w:lang w:val="fr-CA"/>
              </w:rPr>
              <w:t xml:space="preserve">Argumente continuellement. Ne reconnaît pas son propre apport aux divergences ou aux conflits. </w:t>
            </w:r>
            <w:proofErr w:type="spellStart"/>
            <w:r w:rsidRPr="00E56B82">
              <w:t>Contredit</w:t>
            </w:r>
            <w:proofErr w:type="spellEnd"/>
            <w:r w:rsidRPr="00E56B82">
              <w:t xml:space="preserve"> la </w:t>
            </w:r>
            <w:proofErr w:type="spellStart"/>
            <w:r w:rsidRPr="00E56B82">
              <w:t>rétroaction</w:t>
            </w:r>
            <w:proofErr w:type="spellEnd"/>
            <w:r w:rsidRPr="00E56B82">
              <w:t xml:space="preserve">. </w:t>
            </w:r>
            <w:proofErr w:type="spellStart"/>
            <w:r w:rsidRPr="00E56B82">
              <w:t>N’écoute</w:t>
            </w:r>
            <w:proofErr w:type="spellEnd"/>
            <w:r w:rsidRPr="00E56B82">
              <w:t xml:space="preserve"> pas autrui.</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Cerne et gère les divergences de façon constructive. Écoute pour comprendre et trouver un terrain d’entente. Se montre prêt à donner suite à la rétroaction reçue.</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Agit de façon proactive pour désamorcer ou résoudre les conflits avec les membres de l’équipe et les familles. Reconnaît son propre apport aux divergences et agit avec professionnalisme pour les régler.</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097392" w:rsidRDefault="00097392" w:rsidP="00097392">
            <w:pPr>
              <w:pStyle w:val="ChartBodyLeft"/>
              <w:rPr>
                <w:lang w:val="fr-CA"/>
              </w:rPr>
            </w:pPr>
          </w:p>
        </w:tc>
      </w:tr>
    </w:tbl>
    <w:p w:rsidR="00097392" w:rsidRPr="00097392" w:rsidRDefault="00097392" w:rsidP="00097392">
      <w:pPr>
        <w:spacing w:after="0"/>
        <w:rPr>
          <w:sz w:val="20"/>
          <w:lang w:val="fr-CA"/>
        </w:rPr>
      </w:pPr>
    </w:p>
    <w:tbl>
      <w:tblPr>
        <w:tblW w:w="0" w:type="auto"/>
        <w:tblInd w:w="72" w:type="dxa"/>
        <w:tblLayout w:type="fixed"/>
        <w:tblCellMar>
          <w:left w:w="0" w:type="dxa"/>
          <w:right w:w="0" w:type="dxa"/>
        </w:tblCellMar>
        <w:tblLook w:val="0000" w:firstRow="0" w:lastRow="0" w:firstColumn="0" w:lastColumn="0" w:noHBand="0" w:noVBand="0"/>
      </w:tblPr>
      <w:tblGrid>
        <w:gridCol w:w="2070"/>
        <w:gridCol w:w="1980"/>
        <w:gridCol w:w="1980"/>
        <w:gridCol w:w="2070"/>
        <w:gridCol w:w="1980"/>
        <w:gridCol w:w="720"/>
      </w:tblGrid>
      <w:tr w:rsidR="00097392" w:rsidRPr="00AD68A0" w:rsidTr="00CB013C">
        <w:trPr>
          <w:trHeight w:val="60"/>
        </w:trPr>
        <w:tc>
          <w:tcPr>
            <w:tcW w:w="10800" w:type="dxa"/>
            <w:gridSpan w:val="6"/>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AD68A0" w:rsidRDefault="00097392" w:rsidP="00097392">
            <w:pPr>
              <w:pStyle w:val="ChartHead"/>
            </w:pPr>
            <w:proofErr w:type="spellStart"/>
            <w:r w:rsidRPr="000A7199">
              <w:t>Transferts</w:t>
            </w:r>
            <w:proofErr w:type="spellEnd"/>
            <w:r w:rsidRPr="000A7199">
              <w:t xml:space="preserve"> de </w:t>
            </w:r>
            <w:proofErr w:type="spellStart"/>
            <w:r w:rsidRPr="000A7199">
              <w:t>soins</w:t>
            </w:r>
            <w:proofErr w:type="spellEnd"/>
          </w:p>
        </w:tc>
      </w:tr>
      <w:tr w:rsidR="00097392" w:rsidRPr="0030082E" w:rsidTr="00CB013C">
        <w:trPr>
          <w:trHeight w:val="60"/>
        </w:trPr>
        <w:tc>
          <w:tcPr>
            <w:tcW w:w="207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1</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3</w:t>
            </w:r>
          </w:p>
        </w:tc>
        <w:tc>
          <w:tcPr>
            <w:tcW w:w="20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4</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30082E" w:rsidRDefault="00097392" w:rsidP="00097392">
            <w:pPr>
              <w:pStyle w:val="ChartBodyCentered"/>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30082E" w:rsidRDefault="00097392" w:rsidP="00097392">
            <w:pPr>
              <w:pStyle w:val="ChartBodyCentered"/>
            </w:pPr>
            <w:r w:rsidRPr="0030082E">
              <w:t>n/a</w:t>
            </w:r>
          </w:p>
        </w:tc>
      </w:tr>
      <w:tr w:rsidR="00097392" w:rsidRPr="00097392" w:rsidTr="00CB013C">
        <w:trPr>
          <w:trHeight w:val="60"/>
        </w:trPr>
        <w:tc>
          <w:tcPr>
            <w:tcW w:w="207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r w:rsidRPr="00097392">
              <w:rPr>
                <w:lang w:val="fr-CA"/>
              </w:rPr>
              <w:t xml:space="preserve">Effectue des transferts de soins désorganisés ou incomplets. Ne se soucie pas d’offrir et d’obtenir de l’information sur le patient, et ne clarifie pas la compréhension. </w:t>
            </w:r>
            <w:proofErr w:type="spellStart"/>
            <w:r w:rsidRPr="00E56B82">
              <w:t>N’est</w:t>
            </w:r>
            <w:proofErr w:type="spellEnd"/>
            <w:r w:rsidRPr="00E56B82">
              <w:t xml:space="preserve"> pas </w:t>
            </w:r>
            <w:proofErr w:type="spellStart"/>
            <w:r w:rsidRPr="00E56B82">
              <w:t>efficace</w:t>
            </w:r>
            <w:proofErr w:type="spellEnd"/>
            <w:r w:rsidRPr="00E56B82">
              <w:t xml:space="preserve"> </w:t>
            </w:r>
            <w:proofErr w:type="spellStart"/>
            <w:r w:rsidRPr="00E56B82">
              <w:t>en</w:t>
            </w:r>
            <w:proofErr w:type="spellEnd"/>
            <w:r w:rsidRPr="00E56B82">
              <w:t xml:space="preserve"> </w:t>
            </w:r>
            <w:proofErr w:type="spellStart"/>
            <w:r w:rsidRPr="00E56B82">
              <w:t>contexte</w:t>
            </w:r>
            <w:proofErr w:type="spellEnd"/>
            <w:r w:rsidRPr="00E56B82">
              <w:t xml:space="preserve"> </w:t>
            </w:r>
            <w:proofErr w:type="spellStart"/>
            <w:r w:rsidRPr="00E56B82">
              <w:t>d’équipe</w:t>
            </w:r>
            <w:proofErr w:type="spellEnd"/>
            <w:r w:rsidRPr="00E56B82">
              <w:t>.</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E56B82" w:rsidRDefault="00097392" w:rsidP="00097392">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Fournit l’information requise sur le patient; utilise une approche compétente et des outils normalisés. Comprend le rôle des membres des équipes et collabore avec compétence aux transferts de soins.</w:t>
            </w:r>
          </w:p>
        </w:tc>
        <w:tc>
          <w:tcPr>
            <w:tcW w:w="20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97392" w:rsidRPr="00097392" w:rsidRDefault="00097392" w:rsidP="00097392">
            <w:pPr>
              <w:pStyle w:val="ChartBodyLeft"/>
              <w:rPr>
                <w:lang w:val="fr-CA"/>
              </w:rPr>
            </w:pPr>
            <w:r w:rsidRPr="00097392">
              <w:rPr>
                <w:lang w:val="fr-CA"/>
              </w:rPr>
              <w:t>Se soucie d’offrir et d’obtenir de l’information sur le patient. Utilise des méthodes et outils normalisés avec aisance et efficacité. Veille et participe à l’efficacité des transferts de soins effectués par les équipes, offrant son aide aux autres.</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97392" w:rsidRPr="00097392" w:rsidRDefault="00097392" w:rsidP="00097392">
            <w:pPr>
              <w:pStyle w:val="ChartBodyLeft"/>
              <w:rPr>
                <w:lang w:val="fr-CA"/>
              </w:rPr>
            </w:pPr>
          </w:p>
        </w:tc>
      </w:tr>
    </w:tbl>
    <w:p w:rsidR="00097392" w:rsidRPr="00097392" w:rsidRDefault="00097392" w:rsidP="00097392">
      <w:pPr>
        <w:spacing w:after="0"/>
        <w:rPr>
          <w:sz w:val="20"/>
          <w:lang w:val="fr-CA"/>
        </w:rPr>
      </w:pPr>
    </w:p>
    <w:tbl>
      <w:tblPr>
        <w:tblW w:w="0" w:type="auto"/>
        <w:tblInd w:w="8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097392" w:rsidRPr="00AD68A0" w:rsidTr="00CB013C">
        <w:trPr>
          <w:trHeight w:val="60"/>
        </w:trPr>
        <w:tc>
          <w:tcPr>
            <w:tcW w:w="10800" w:type="dxa"/>
            <w:gridSpan w:val="5"/>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097392" w:rsidRPr="00AD68A0" w:rsidRDefault="00097392" w:rsidP="00097392">
            <w:pPr>
              <w:pStyle w:val="ChartHead"/>
            </w:pPr>
            <w:r w:rsidRPr="000A7199">
              <w:t>ÉVALUATION GLOBALE</w:t>
            </w:r>
          </w:p>
        </w:tc>
      </w:tr>
      <w:tr w:rsidR="00097392" w:rsidRPr="0030082E" w:rsidTr="00CB013C">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097392" w:rsidRPr="0030082E" w:rsidRDefault="00097392" w:rsidP="00097392">
            <w:pPr>
              <w:pStyle w:val="ChartBodyCentered"/>
            </w:pPr>
            <w:r w:rsidRPr="0030082E">
              <w:t>1</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30082E" w:rsidRDefault="00097392" w:rsidP="00097392">
            <w:pPr>
              <w:pStyle w:val="ChartBodyCentered"/>
            </w:pPr>
            <w:r w:rsidRPr="0030082E">
              <w:t>2</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30082E" w:rsidRDefault="00097392" w:rsidP="00097392">
            <w:pPr>
              <w:pStyle w:val="ChartBodyCentered"/>
            </w:pPr>
            <w:r w:rsidRPr="0030082E">
              <w:t>3</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30082E" w:rsidRDefault="00097392" w:rsidP="00097392">
            <w:pPr>
              <w:pStyle w:val="ChartBodyCentered"/>
            </w:pPr>
            <w:r w:rsidRPr="0030082E">
              <w:t>4</w:t>
            </w: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097392" w:rsidRPr="0030082E" w:rsidRDefault="00097392" w:rsidP="00097392">
            <w:pPr>
              <w:pStyle w:val="ChartBodyCentered"/>
            </w:pPr>
            <w:r w:rsidRPr="0030082E">
              <w:t>5</w:t>
            </w:r>
          </w:p>
        </w:tc>
      </w:tr>
      <w:tr w:rsidR="00097392" w:rsidRPr="00D81D02" w:rsidTr="00CB013C">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097392" w:rsidRPr="00D81D02" w:rsidRDefault="00097392" w:rsidP="00097392">
            <w:pPr>
              <w:pStyle w:val="ChartBodyCentered"/>
            </w:pPr>
            <w:proofErr w:type="spellStart"/>
            <w:r w:rsidRPr="00D81D02">
              <w:t>Insatisfaisant</w:t>
            </w:r>
            <w:proofErr w:type="spellEnd"/>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D81D02" w:rsidRDefault="00097392" w:rsidP="00097392">
            <w:pPr>
              <w:pStyle w:val="ChartBodyCentered"/>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D81D02" w:rsidRDefault="00097392" w:rsidP="00097392">
            <w:pPr>
              <w:pStyle w:val="ChartBodyCentered"/>
            </w:pPr>
            <w:r w:rsidRPr="00D81D02">
              <w:t>Bonne performance</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D81D02" w:rsidRDefault="00097392" w:rsidP="00097392">
            <w:pPr>
              <w:pStyle w:val="ChartBodyCentered"/>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097392" w:rsidRPr="00D81D02" w:rsidRDefault="00097392" w:rsidP="00097392">
            <w:pPr>
              <w:pStyle w:val="ChartBodyCentered"/>
            </w:pPr>
            <w:r w:rsidRPr="00D81D02">
              <w:t xml:space="preserve">Performance </w:t>
            </w:r>
            <w:proofErr w:type="spellStart"/>
            <w:r w:rsidRPr="00D81D02">
              <w:t>supérieure</w:t>
            </w:r>
            <w:proofErr w:type="spellEnd"/>
          </w:p>
        </w:tc>
      </w:tr>
      <w:tr w:rsidR="00097392" w:rsidRPr="00097392" w:rsidTr="00CB013C">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097392" w:rsidRPr="00097392" w:rsidRDefault="00097392" w:rsidP="00097392">
            <w:pPr>
              <w:pStyle w:val="ChartBodyLeft"/>
              <w:rPr>
                <w:lang w:val="fr-CA"/>
              </w:rPr>
            </w:pPr>
            <w:r w:rsidRPr="00097392">
              <w:rPr>
                <w:lang w:val="fr-CA"/>
              </w:rPr>
              <w:t>Inférieur au niveau acceptable minimal pour un apprenant à ce stade de formation.</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097392" w:rsidRDefault="00097392" w:rsidP="00097392">
            <w:pPr>
              <w:pStyle w:val="ChartBodyLeft"/>
              <w:rPr>
                <w:lang w:val="fr-CA"/>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097392" w:rsidRDefault="00097392" w:rsidP="00097392">
            <w:pPr>
              <w:pStyle w:val="ChartBodyLeft"/>
              <w:rPr>
                <w:lang w:val="fr-CA"/>
              </w:rPr>
            </w:pPr>
            <w:r w:rsidRPr="00097392">
              <w:rPr>
                <w:lang w:val="fr-CA"/>
              </w:rPr>
              <w:t>Démontre la capacité de travailler avec compétence. Satisfait les attentes associées à son stade de formation.</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7392" w:rsidRPr="00097392" w:rsidRDefault="00097392" w:rsidP="00097392">
            <w:pPr>
              <w:pStyle w:val="ChartBodyLeft"/>
              <w:rPr>
                <w:lang w:val="fr-CA"/>
              </w:rPr>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097392" w:rsidRPr="00097392" w:rsidRDefault="00097392" w:rsidP="00097392">
            <w:pPr>
              <w:pStyle w:val="ChartBodyLeft"/>
              <w:rPr>
                <w:lang w:val="fr-CA"/>
              </w:rPr>
            </w:pPr>
            <w:r w:rsidRPr="00097392">
              <w:rPr>
                <w:lang w:val="fr-CA"/>
              </w:rPr>
              <w:t>Dépasse largement les critères de rendement liés à son stade de formation.</w:t>
            </w:r>
          </w:p>
        </w:tc>
      </w:tr>
    </w:tbl>
    <w:p w:rsidR="00097392" w:rsidRDefault="00097392" w:rsidP="00097392">
      <w:pPr>
        <w:rPr>
          <w:lang w:val="fr-CA"/>
        </w:rPr>
      </w:pPr>
    </w:p>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097392" w:rsidRPr="0030082E" w:rsidTr="00CB013C">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097392" w:rsidRPr="0030082E" w:rsidRDefault="00097392" w:rsidP="00097392">
            <w:pPr>
              <w:pStyle w:val="ChartBodyLeft"/>
            </w:pPr>
            <w:r>
              <w:lastRenderedPageBreak/>
              <w:br w:type="page"/>
            </w:r>
            <w:proofErr w:type="spellStart"/>
            <w:r>
              <w:t>Décrire</w:t>
            </w:r>
            <w:proofErr w:type="spellEnd"/>
            <w:r>
              <w:t xml:space="preserve"> les FORCES</w:t>
            </w:r>
          </w:p>
          <w:p w:rsidR="00097392" w:rsidRPr="0030082E" w:rsidRDefault="00097392" w:rsidP="00097392">
            <w:pPr>
              <w:pStyle w:val="ChartBodyLeft"/>
            </w:pPr>
          </w:p>
          <w:p w:rsidR="00097392" w:rsidRPr="0030082E" w:rsidRDefault="00097392" w:rsidP="00097392">
            <w:pPr>
              <w:pStyle w:val="ChartBodyLeft"/>
            </w:pPr>
          </w:p>
          <w:p w:rsidR="00097392" w:rsidRDefault="00097392" w:rsidP="00097392">
            <w:pPr>
              <w:pStyle w:val="ChartBodyLeft"/>
            </w:pPr>
          </w:p>
          <w:p w:rsidR="00097392" w:rsidRDefault="00097392" w:rsidP="00097392">
            <w:pPr>
              <w:pStyle w:val="ChartBodyLeft"/>
            </w:pPr>
          </w:p>
          <w:p w:rsidR="00097392" w:rsidRDefault="00097392" w:rsidP="00097392">
            <w:pPr>
              <w:pStyle w:val="ChartBodyLeft"/>
            </w:pPr>
          </w:p>
          <w:p w:rsidR="00097392" w:rsidRPr="0030082E" w:rsidRDefault="00097392" w:rsidP="00097392">
            <w:pPr>
              <w:pStyle w:val="ChartBodyLeft"/>
            </w:pPr>
          </w:p>
          <w:p w:rsidR="00097392" w:rsidRPr="0030082E" w:rsidRDefault="00097392" w:rsidP="00097392">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097392" w:rsidRPr="0030082E" w:rsidRDefault="00097392" w:rsidP="00097392">
            <w:pPr>
              <w:pStyle w:val="ChartBodyLeft"/>
            </w:pPr>
            <w:proofErr w:type="spellStart"/>
            <w:r>
              <w:t>Domaines</w:t>
            </w:r>
            <w:proofErr w:type="spellEnd"/>
            <w:r>
              <w:t>/</w:t>
            </w:r>
            <w:proofErr w:type="spellStart"/>
            <w:r>
              <w:t>mesures</w:t>
            </w:r>
            <w:proofErr w:type="spellEnd"/>
            <w:r>
              <w:t xml:space="preserve"> </w:t>
            </w:r>
            <w:proofErr w:type="spellStart"/>
            <w:r>
              <w:t>d’amélioration</w:t>
            </w:r>
            <w:proofErr w:type="spellEnd"/>
          </w:p>
          <w:p w:rsidR="00097392" w:rsidRPr="0030082E" w:rsidRDefault="00097392" w:rsidP="00097392">
            <w:pPr>
              <w:pStyle w:val="ChartBodyLeft"/>
            </w:pPr>
          </w:p>
          <w:p w:rsidR="00097392" w:rsidRPr="0030082E" w:rsidRDefault="00097392" w:rsidP="00097392">
            <w:pPr>
              <w:pStyle w:val="ChartBodyLeft"/>
            </w:pPr>
          </w:p>
          <w:p w:rsidR="00097392" w:rsidRPr="0030082E" w:rsidRDefault="00097392" w:rsidP="00097392">
            <w:pPr>
              <w:pStyle w:val="ChartBodyLeft"/>
            </w:pPr>
          </w:p>
        </w:tc>
      </w:tr>
    </w:tbl>
    <w:p w:rsidR="00097392" w:rsidRDefault="00097392" w:rsidP="00097392">
      <w:pPr>
        <w:rPr>
          <w:lang w:val="fr-CA"/>
        </w:rPr>
      </w:pPr>
    </w:p>
    <w:p w:rsidR="00097392" w:rsidRDefault="00097392" w:rsidP="00097392">
      <w:pPr>
        <w:rPr>
          <w:lang w:val="fr-CA"/>
        </w:rPr>
      </w:pPr>
      <w:r>
        <w:rPr>
          <w:lang w:val="fr-CA"/>
        </w:rPr>
        <w:t xml:space="preserve">Commentaires : </w:t>
      </w:r>
    </w:p>
    <w:p w:rsidR="00097392" w:rsidRDefault="00097392" w:rsidP="00097392">
      <w:pPr>
        <w:rPr>
          <w:lang w:val="fr-CA"/>
        </w:rPr>
      </w:pPr>
    </w:p>
    <w:p w:rsidR="00097392" w:rsidRDefault="00097392" w:rsidP="00097392">
      <w:pPr>
        <w:rPr>
          <w:lang w:val="fr-CA"/>
        </w:rPr>
      </w:pPr>
    </w:p>
    <w:p w:rsidR="002B03F8" w:rsidRDefault="00B46140" w:rsidP="00097392">
      <w:pPr>
        <w:rPr>
          <w:lang w:val="fr-CA"/>
        </w:rPr>
      </w:pPr>
      <w:r w:rsidRPr="00B46140">
        <w:rPr>
          <w:lang w:val="fr-CA"/>
        </w:rPr>
        <w:t xml:space="preserve"> </w:t>
      </w: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Default="00097392" w:rsidP="00097392">
      <w:pPr>
        <w:rPr>
          <w:lang w:val="fr-CA"/>
        </w:rPr>
      </w:pPr>
    </w:p>
    <w:p w:rsidR="00097392" w:rsidRPr="00B46140" w:rsidRDefault="00097392" w:rsidP="00097392">
      <w:pPr>
        <w:rPr>
          <w:lang w:val="fr-CA"/>
        </w:rPr>
      </w:pPr>
    </w:p>
    <w:sectPr w:rsidR="00097392"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097392" w:rsidRPr="00097392" w:rsidRDefault="00097392" w:rsidP="00097392">
      <w:pPr>
        <w:pStyle w:val="Source"/>
        <w:rPr>
          <w:lang w:val="fr-CA"/>
        </w:rPr>
      </w:pPr>
      <w:r w:rsidRPr="0030082E">
        <w:rPr>
          <w:rStyle w:val="EndnoteReference"/>
          <w:sz w:val="18"/>
          <w:szCs w:val="18"/>
        </w:rPr>
        <w:endnoteRef/>
      </w:r>
      <w:r w:rsidRPr="00097392">
        <w:rPr>
          <w:lang w:val="fr-CA"/>
        </w:rPr>
        <w:t xml:space="preserve"> Adaptation : Glover Takahashi S, Martin D, Richardson D. Chapitre 5. Trousse pour l’enseignement et l’évaluation du rôle CanMEDS de collaborateur. Ottawa</w:t>
      </w:r>
      <w:proofErr w:type="gramStart"/>
      <w:r w:rsidRPr="00097392">
        <w:rPr>
          <w:lang w:val="fr-CA"/>
        </w:rPr>
        <w:t xml:space="preserve"> :Collège</w:t>
      </w:r>
      <w:proofErr w:type="gramEnd"/>
      <w:r w:rsidRPr="00097392">
        <w:rPr>
          <w:lang w:val="fr-CA"/>
        </w:rPr>
        <w:t xml:space="preserve"> royal des médecins et chirurgiens du Canada, 2012. Reproduit avec autorisation.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w:t>
    </w:r>
    <w:r w:rsidR="00097392">
      <w:rPr>
        <w:rFonts w:ascii="Open Sans" w:hAnsi="Open Sans" w:cs="Open Sans"/>
        <w:color w:val="7F7F7F"/>
        <w:sz w:val="14"/>
        <w:szCs w:val="14"/>
        <w:lang w:val="en-GB"/>
      </w:rPr>
      <w:t>’évaluation</w:t>
    </w:r>
    <w:proofErr w:type="spellEnd"/>
    <w:r w:rsidR="00097392">
      <w:rPr>
        <w:rFonts w:ascii="Open Sans" w:hAnsi="Open Sans" w:cs="Open Sans"/>
        <w:color w:val="7F7F7F"/>
        <w:sz w:val="14"/>
        <w:szCs w:val="14"/>
        <w:lang w:val="en-GB"/>
      </w:rPr>
      <w:t xml:space="preserve"> 2</w:t>
    </w:r>
    <w:r w:rsidRPr="00966096">
      <w:rPr>
        <w:rFonts w:ascii="Open Sans" w:hAnsi="Open Sans" w:cs="Open Sans"/>
        <w:color w:val="7F7F7F"/>
        <w:sz w:val="14"/>
        <w:szCs w:val="14"/>
        <w:lang w:val="en-GB"/>
      </w:rPr>
      <w:t xml:space="preserve"> – </w:t>
    </w:r>
    <w:r w:rsidR="00097392">
      <w:rPr>
        <w:rFonts w:ascii="Open Sans" w:hAnsi="Open Sans" w:cs="Open Sans"/>
        <w:color w:val="003A5B" w:themeColor="text2"/>
        <w:sz w:val="14"/>
        <w:szCs w:val="14"/>
        <w:lang w:val="en-GB"/>
      </w:rPr>
      <w:t>FORMULAIRE DE RENCONTRE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DD47E68"/>
    <w:multiLevelType w:val="hybridMultilevel"/>
    <w:tmpl w:val="3D6A74B6"/>
    <w:lvl w:ilvl="0" w:tplc="B9104B32">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97392"/>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D3CE9"/>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styleId="EndnoteReference">
    <w:name w:val="endnote reference"/>
    <w:basedOn w:val="DefaultParagraphFont"/>
    <w:uiPriority w:val="99"/>
    <w:unhideWhenUsed/>
    <w:rsid w:val="00097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purl.org/dc/dcmitype/"/>
    <ds:schemaRef ds:uri="http://schemas.microsoft.com/office/2006/metadata/properties"/>
    <ds:schemaRef ds:uri="http://www.w3.org/XML/1998/namespace"/>
    <ds:schemaRef ds:uri="http://purl.org/dc/terms/"/>
    <ds:schemaRef ds:uri="http://purl.org/dc/elements/1.1/"/>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4C198F6D-8F2B-440A-ADFA-14365E95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2021-11-22T20:25:00Z</dcterms:created>
  <dcterms:modified xsi:type="dcterms:W3CDTF">2021-11-22T20:25:00Z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