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D83ADE" w:rsidRDefault="00B46140" w:rsidP="006A4987">
      <w:pPr>
        <w:pStyle w:val="Heading1"/>
        <w:rPr>
          <w:sz w:val="48"/>
          <w:lang w:val="fr-CA"/>
        </w:rPr>
      </w:pPr>
      <w:r w:rsidRPr="00D83ADE">
        <w:rPr>
          <w:sz w:val="48"/>
          <w:lang w:val="fr-CA"/>
        </w:rPr>
        <w:t>Outils d’</w:t>
      </w:r>
      <w:r w:rsidR="00D83ADE" w:rsidRPr="00D83ADE">
        <w:rPr>
          <w:sz w:val="48"/>
          <w:lang w:val="fr-CA"/>
        </w:rPr>
        <w:t>évaluation 3</w:t>
      </w:r>
      <w:r w:rsidRPr="00D83ADE">
        <w:rPr>
          <w:sz w:val="48"/>
          <w:lang w:val="fr-CA"/>
        </w:rPr>
        <w:t xml:space="preserve"> – </w:t>
      </w:r>
      <w:r w:rsidR="00D83ADE" w:rsidRPr="00D83ADE">
        <w:rPr>
          <w:sz w:val="48"/>
          <w:lang w:val="fr-CA"/>
        </w:rPr>
        <w:t>Formulaire de rencontre</w:t>
      </w:r>
    </w:p>
    <w:p w:rsidR="002B03F8" w:rsidRDefault="00B46140" w:rsidP="006A4987">
      <w:pPr>
        <w:pStyle w:val="Subtitle"/>
        <w:rPr>
          <w:lang w:val="fr-CA"/>
        </w:rPr>
      </w:pPr>
      <w:r w:rsidRPr="00B46140">
        <w:rPr>
          <w:lang w:val="fr-CA"/>
        </w:rPr>
        <w:t xml:space="preserve">CanMEDS </w:t>
      </w:r>
      <w:r w:rsidR="00D83ADE">
        <w:rPr>
          <w:lang w:val="fr-CA"/>
        </w:rPr>
        <w:t>Collaborateur</w:t>
      </w:r>
    </w:p>
    <w:p w:rsidR="00D83ADE" w:rsidRPr="00D83ADE" w:rsidRDefault="00D83ADE" w:rsidP="00D83ADE">
      <w:pPr>
        <w:pStyle w:val="Heading2"/>
      </w:pPr>
      <w:r w:rsidRPr="00D83ADE">
        <w:t>Formulaire de rencontre – réunion d’équipe</w:t>
      </w:r>
      <w:r w:rsidRPr="0060544E">
        <w:rPr>
          <w:rStyle w:val="EndnoteReference"/>
          <w:sz w:val="28"/>
          <w:szCs w:val="28"/>
        </w:rPr>
        <w:endnoteReference w:id="1"/>
      </w:r>
    </w:p>
    <w:p w:rsidR="00D83ADE" w:rsidRPr="00D83ADE" w:rsidRDefault="00D83ADE" w:rsidP="00D83ADE">
      <w:pPr>
        <w:rPr>
          <w:rStyle w:val="SubtleReference"/>
          <w:sz w:val="22"/>
          <w:lang w:val="fr-CA"/>
        </w:rPr>
      </w:pPr>
      <w:r w:rsidRPr="00D83ADE">
        <w:rPr>
          <w:rStyle w:val="SubtleReference"/>
          <w:sz w:val="22"/>
          <w:lang w:val="fr-CA"/>
        </w:rPr>
        <w:t xml:space="preserve">Le contenu ci-dessous, rédigé à l’origine par S. Glover Takahashi, D. Martin et D. Richardson sous la gouverne du Collège royal des médecins et chirurgiens du Canada, est adapté de la Trousse pour l'enseignement et l'évaluation du rôle CanMEDS de collaborateur. Vous pouvez utiliser, reproduire et modifier ce contenu à vos propres fins non commerciales, à condition d’indiquer clairement vos changements et de créditer le Collège royal. Ce dernier peut révoquer cette autorisation à tout moment, par écrit. </w:t>
      </w:r>
    </w:p>
    <w:p w:rsidR="00D83ADE" w:rsidRPr="00D83ADE" w:rsidRDefault="00D83ADE" w:rsidP="00D83ADE">
      <w:pPr>
        <w:rPr>
          <w:rStyle w:val="SubtleReference"/>
          <w:b/>
          <w:sz w:val="22"/>
        </w:rPr>
      </w:pPr>
      <w:r w:rsidRPr="00D83ADE">
        <w:rPr>
          <w:rStyle w:val="SubtleReference"/>
          <w:b/>
          <w:sz w:val="22"/>
          <w:lang w:val="fr-CA"/>
        </w:rPr>
        <w:t>REMARQUE : Le contenu ci-dessous peut avoir été modifié et ne plus représenter l’opinion ou le point de vue du Collège royal.</w:t>
      </w:r>
    </w:p>
    <w:p w:rsidR="00D83ADE" w:rsidRPr="00D83ADE" w:rsidRDefault="00D83ADE" w:rsidP="00D83ADE">
      <w:pPr>
        <w:pStyle w:val="Heading3"/>
        <w:rPr>
          <w:color w:val="003A5B" w:themeColor="text2"/>
          <w:lang w:val="fr-CA"/>
        </w:rPr>
      </w:pPr>
      <w:r w:rsidRPr="00D83ADE">
        <w:rPr>
          <w:color w:val="003A5B" w:themeColor="text2"/>
          <w:lang w:val="fr-CA"/>
        </w:rPr>
        <w:t>Directives à l’intention de l’évaluateur :</w:t>
      </w:r>
    </w:p>
    <w:p w:rsidR="00D83ADE" w:rsidRPr="00D83ADE" w:rsidRDefault="00D83ADE" w:rsidP="00D83ADE">
      <w:pPr>
        <w:pStyle w:val="ListParagraph"/>
      </w:pPr>
      <w:r w:rsidRPr="00D83ADE">
        <w:t xml:space="preserve">Les </w:t>
      </w:r>
      <w:proofErr w:type="spellStart"/>
      <w:r w:rsidRPr="00D83ADE">
        <w:t>compétences</w:t>
      </w:r>
      <w:proofErr w:type="spellEnd"/>
      <w:r w:rsidRPr="00D83ADE">
        <w:t xml:space="preserve"> </w:t>
      </w:r>
      <w:proofErr w:type="spellStart"/>
      <w:r w:rsidRPr="00D83ADE">
        <w:t>en</w:t>
      </w:r>
      <w:proofErr w:type="spellEnd"/>
      <w:r w:rsidRPr="00D83ADE">
        <w:t xml:space="preserve"> collaboration </w:t>
      </w:r>
      <w:proofErr w:type="spellStart"/>
      <w:r w:rsidRPr="00D83ADE">
        <w:t>peuvent</w:t>
      </w:r>
      <w:proofErr w:type="spellEnd"/>
      <w:r w:rsidRPr="00D83ADE">
        <w:t xml:space="preserve"> </w:t>
      </w:r>
      <w:proofErr w:type="spellStart"/>
      <w:r w:rsidRPr="00D83ADE">
        <w:t>s’acquérir</w:t>
      </w:r>
      <w:proofErr w:type="spellEnd"/>
      <w:r w:rsidRPr="00D83ADE">
        <w:t xml:space="preserve"> avec le temps. </w:t>
      </w:r>
      <w:proofErr w:type="spellStart"/>
      <w:r w:rsidRPr="00D83ADE">
        <w:t>Aidez</w:t>
      </w:r>
      <w:proofErr w:type="spellEnd"/>
      <w:r w:rsidRPr="00D83ADE">
        <w:t xml:space="preserve"> </w:t>
      </w:r>
      <w:proofErr w:type="spellStart"/>
      <w:r w:rsidRPr="00D83ADE">
        <w:t>l’apprenant</w:t>
      </w:r>
      <w:proofErr w:type="spellEnd"/>
      <w:r w:rsidRPr="00D83ADE">
        <w:t xml:space="preserve"> à </w:t>
      </w:r>
      <w:proofErr w:type="spellStart"/>
      <w:r w:rsidRPr="00D83ADE">
        <w:t>mieux</w:t>
      </w:r>
      <w:proofErr w:type="spellEnd"/>
      <w:r w:rsidRPr="00D83ADE">
        <w:t xml:space="preserve"> </w:t>
      </w:r>
      <w:proofErr w:type="spellStart"/>
      <w:r w:rsidRPr="00D83ADE">
        <w:t>comprendre</w:t>
      </w:r>
      <w:proofErr w:type="spellEnd"/>
      <w:r w:rsidRPr="00D83ADE">
        <w:t xml:space="preserve"> son </w:t>
      </w:r>
      <w:proofErr w:type="spellStart"/>
      <w:r w:rsidRPr="00D83ADE">
        <w:t>niveau</w:t>
      </w:r>
      <w:proofErr w:type="spellEnd"/>
      <w:r w:rsidRPr="00D83ADE">
        <w:t xml:space="preserve"> </w:t>
      </w:r>
      <w:proofErr w:type="spellStart"/>
      <w:r w:rsidRPr="00D83ADE">
        <w:t>d’expertise</w:t>
      </w:r>
      <w:proofErr w:type="spellEnd"/>
      <w:r w:rsidRPr="00D83ADE">
        <w:t xml:space="preserve"> </w:t>
      </w:r>
      <w:proofErr w:type="spellStart"/>
      <w:r w:rsidRPr="00D83ADE">
        <w:t>en</w:t>
      </w:r>
      <w:proofErr w:type="spellEnd"/>
      <w:r w:rsidRPr="00D83ADE">
        <w:t xml:space="preserve"> collaboration </w:t>
      </w:r>
      <w:proofErr w:type="spellStart"/>
      <w:r w:rsidRPr="00D83ADE">
        <w:t>en</w:t>
      </w:r>
      <w:proofErr w:type="spellEnd"/>
      <w:r w:rsidRPr="00D83ADE">
        <w:t xml:space="preserve"> </w:t>
      </w:r>
      <w:proofErr w:type="spellStart"/>
      <w:r w:rsidRPr="00D83ADE">
        <w:t>lui</w:t>
      </w:r>
      <w:proofErr w:type="spellEnd"/>
      <w:r w:rsidRPr="00D83ADE">
        <w:t xml:space="preserve"> demandant de </w:t>
      </w:r>
      <w:proofErr w:type="spellStart"/>
      <w:r w:rsidRPr="00D83ADE">
        <w:t>remplir</w:t>
      </w:r>
      <w:proofErr w:type="spellEnd"/>
      <w:r w:rsidRPr="00D83ADE">
        <w:t xml:space="preserve"> le </w:t>
      </w:r>
      <w:proofErr w:type="spellStart"/>
      <w:r w:rsidRPr="00D83ADE">
        <w:t>formulaire</w:t>
      </w:r>
      <w:proofErr w:type="spellEnd"/>
      <w:r w:rsidRPr="00D83ADE">
        <w:t xml:space="preserve"> ci-dessous.</w:t>
      </w:r>
    </w:p>
    <w:p w:rsidR="00D83ADE" w:rsidRDefault="00D83ADE" w:rsidP="00D83ADE">
      <w:pPr>
        <w:pStyle w:val="ListParagraph"/>
      </w:pPr>
      <w:proofErr w:type="spellStart"/>
      <w:r w:rsidRPr="00D83ADE">
        <w:t>Offrez-lui</w:t>
      </w:r>
      <w:proofErr w:type="spellEnd"/>
      <w:r w:rsidRPr="00D83ADE">
        <w:t xml:space="preserve"> </w:t>
      </w:r>
      <w:proofErr w:type="spellStart"/>
      <w:r w:rsidRPr="00D83ADE">
        <w:t>ensuite</w:t>
      </w:r>
      <w:proofErr w:type="spellEnd"/>
      <w:r w:rsidRPr="00D83ADE">
        <w:t xml:space="preserve"> </w:t>
      </w:r>
      <w:proofErr w:type="spellStart"/>
      <w:r w:rsidRPr="00D83ADE">
        <w:t>votre</w:t>
      </w:r>
      <w:proofErr w:type="spellEnd"/>
      <w:r w:rsidRPr="00D83ADE">
        <w:t xml:space="preserve"> </w:t>
      </w:r>
      <w:proofErr w:type="spellStart"/>
      <w:r w:rsidRPr="00D83ADE">
        <w:t>rétroaction</w:t>
      </w:r>
      <w:proofErr w:type="spellEnd"/>
      <w:r w:rsidRPr="00D83ADE">
        <w:t xml:space="preserve"> et </w:t>
      </w:r>
      <w:proofErr w:type="spellStart"/>
      <w:r w:rsidRPr="00D83ADE">
        <w:t>vos</w:t>
      </w:r>
      <w:proofErr w:type="spellEnd"/>
      <w:r w:rsidRPr="00D83ADE">
        <w:t xml:space="preserve"> </w:t>
      </w:r>
      <w:proofErr w:type="spellStart"/>
      <w:r w:rsidRPr="00D83ADE">
        <w:t>commentaires</w:t>
      </w:r>
      <w:proofErr w:type="spellEnd"/>
      <w:r w:rsidRPr="00D83ADE">
        <w:t xml:space="preserve"> </w:t>
      </w:r>
      <w:proofErr w:type="spellStart"/>
      <w:r w:rsidRPr="00D83ADE">
        <w:t>d’évaluation</w:t>
      </w:r>
      <w:proofErr w:type="spellEnd"/>
      <w:r w:rsidRPr="00D83ADE">
        <w:t xml:space="preserve"> dans des </w:t>
      </w:r>
      <w:proofErr w:type="spellStart"/>
      <w:r w:rsidRPr="00D83ADE">
        <w:t>délais</w:t>
      </w:r>
      <w:proofErr w:type="spellEnd"/>
      <w:r w:rsidRPr="00D83ADE">
        <w:t xml:space="preserve"> </w:t>
      </w:r>
      <w:proofErr w:type="spellStart"/>
      <w:r w:rsidRPr="00D83ADE">
        <w:t>raisonnables</w:t>
      </w:r>
      <w:proofErr w:type="spellEnd"/>
      <w:r w:rsidRPr="00D83ADE">
        <w:t>.</w:t>
      </w:r>
    </w:p>
    <w:p w:rsidR="00D83ADE" w:rsidRPr="00D83ADE" w:rsidRDefault="00D83ADE" w:rsidP="00D83ADE"/>
    <w:p w:rsidR="00D83ADE" w:rsidRPr="00DC5E02" w:rsidRDefault="00D83ADE" w:rsidP="00D83ADE">
      <w:pPr>
        <w:rPr>
          <w:lang w:val="fr-CA"/>
        </w:rPr>
      </w:pPr>
      <w:r w:rsidRPr="00DC5E02">
        <w:rPr>
          <w:lang w:val="fr-CA"/>
        </w:rPr>
        <w:t>Nom : ________________________________</w:t>
      </w:r>
      <w:r>
        <w:rPr>
          <w:lang w:val="fr-CA"/>
        </w:rPr>
        <w:t>_______</w:t>
      </w:r>
      <w:r w:rsidRPr="00DC5E02">
        <w:rPr>
          <w:lang w:val="fr-CA"/>
        </w:rPr>
        <w:t>____</w:t>
      </w:r>
      <w:r>
        <w:rPr>
          <w:lang w:val="fr-CA"/>
        </w:rPr>
        <w:t>_</w:t>
      </w:r>
      <w:r w:rsidRPr="00DC5E02">
        <w:rPr>
          <w:lang w:val="fr-CA"/>
        </w:rPr>
        <w:t>__</w:t>
      </w:r>
    </w:p>
    <w:p w:rsidR="00D83ADE" w:rsidRPr="00DC5E02" w:rsidRDefault="00D83ADE" w:rsidP="00D83ADE">
      <w:pPr>
        <w:rPr>
          <w:lang w:val="fr-CA"/>
        </w:rPr>
      </w:pPr>
      <w:r w:rsidRPr="00DC5E02">
        <w:rPr>
          <w:lang w:val="fr-CA"/>
        </w:rPr>
        <w:t>Année d’études postdoctorales :</w:t>
      </w:r>
      <w:r>
        <w:rPr>
          <w:lang w:val="fr-CA"/>
        </w:rPr>
        <w:t xml:space="preserve"> </w:t>
      </w:r>
      <w:r w:rsidRPr="00DC5E02">
        <w:rPr>
          <w:lang w:val="fr-CA"/>
        </w:rPr>
        <w:t>__________________</w:t>
      </w:r>
      <w:r>
        <w:rPr>
          <w:lang w:val="fr-CA"/>
        </w:rPr>
        <w:t>_</w:t>
      </w:r>
    </w:p>
    <w:p w:rsidR="00D83ADE" w:rsidRPr="00DC5E02" w:rsidRDefault="00D83ADE" w:rsidP="00D83ADE">
      <w:pPr>
        <w:rPr>
          <w:lang w:val="fr-CA"/>
        </w:rPr>
      </w:pPr>
      <w:r w:rsidRPr="00DC5E02">
        <w:rPr>
          <w:lang w:val="fr-CA"/>
        </w:rPr>
        <w:t>Date :</w:t>
      </w:r>
      <w:r w:rsidRPr="00DC5E02">
        <w:rPr>
          <w:lang w:val="fr-CA"/>
        </w:rPr>
        <w:tab/>
        <w:t>___________________</w:t>
      </w:r>
      <w:r>
        <w:rPr>
          <w:lang w:val="fr-CA"/>
        </w:rPr>
        <w:t>________</w:t>
      </w:r>
      <w:r w:rsidRPr="00DC5E02">
        <w:rPr>
          <w:lang w:val="fr-CA"/>
        </w:rPr>
        <w:t>___________________</w:t>
      </w:r>
    </w:p>
    <w:p w:rsidR="00D83ADE" w:rsidRPr="00D83ADE" w:rsidRDefault="00D83ADE" w:rsidP="00D83ADE">
      <w:pPr>
        <w:rPr>
          <w:lang w:val="fr-CA"/>
        </w:rPr>
      </w:pPr>
      <w:r w:rsidRPr="00D83ADE">
        <w:rPr>
          <w:lang w:val="fr-CA"/>
        </w:rPr>
        <w:t>Évaluateur</w:t>
      </w:r>
      <w:proofErr w:type="gramStart"/>
      <w:r w:rsidRPr="00D83ADE">
        <w:rPr>
          <w:lang w:val="fr-CA"/>
        </w:rPr>
        <w:t xml:space="preserve"> :_</w:t>
      </w:r>
      <w:proofErr w:type="gramEnd"/>
      <w:r w:rsidRPr="00D83ADE">
        <w:rPr>
          <w:lang w:val="fr-CA"/>
        </w:rPr>
        <w:t>____________________________</w:t>
      </w:r>
      <w:r w:rsidRPr="00D83ADE">
        <w:rPr>
          <w:lang w:val="fr-CA"/>
        </w:rPr>
        <w:t>______</w:t>
      </w:r>
      <w:r w:rsidRPr="00D83ADE">
        <w:rPr>
          <w:lang w:val="fr-CA"/>
        </w:rPr>
        <w:t>_____</w:t>
      </w:r>
    </w:p>
    <w:tbl>
      <w:tblPr>
        <w:tblW w:w="0" w:type="auto"/>
        <w:tblInd w:w="90" w:type="dxa"/>
        <w:tblLayout w:type="fixed"/>
        <w:tblCellMar>
          <w:left w:w="0" w:type="dxa"/>
          <w:right w:w="0" w:type="dxa"/>
        </w:tblCellMar>
        <w:tblLook w:val="0000" w:firstRow="0" w:lastRow="0" w:firstColumn="0" w:lastColumn="0" w:noHBand="0" w:noVBand="0"/>
      </w:tblPr>
      <w:tblGrid>
        <w:gridCol w:w="1980"/>
        <w:gridCol w:w="2070"/>
        <w:gridCol w:w="1980"/>
        <w:gridCol w:w="2070"/>
        <w:gridCol w:w="1980"/>
        <w:gridCol w:w="720"/>
      </w:tblGrid>
      <w:tr w:rsidR="00D83ADE" w:rsidRPr="0060544E" w:rsidTr="003B315B">
        <w:trPr>
          <w:trHeight w:val="293"/>
        </w:trPr>
        <w:tc>
          <w:tcPr>
            <w:tcW w:w="10800" w:type="dxa"/>
            <w:gridSpan w:val="6"/>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Head"/>
            </w:pPr>
            <w:r w:rsidRPr="0060544E">
              <w:t>Participation</w:t>
            </w:r>
            <w:r>
              <w:t xml:space="preserve"> aux </w:t>
            </w:r>
            <w:proofErr w:type="spellStart"/>
            <w:r>
              <w:t>réunions</w:t>
            </w:r>
            <w:proofErr w:type="spellEnd"/>
            <w:r>
              <w:t xml:space="preserve"> </w:t>
            </w:r>
            <w:proofErr w:type="spellStart"/>
            <w:r>
              <w:t>d’équipe</w:t>
            </w:r>
            <w:proofErr w:type="spellEnd"/>
          </w:p>
        </w:tc>
      </w:tr>
      <w:tr w:rsidR="00D83ADE" w:rsidRPr="0060544E" w:rsidTr="003B315B">
        <w:trPr>
          <w:trHeight w:val="60"/>
        </w:trPr>
        <w:tc>
          <w:tcPr>
            <w:tcW w:w="19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1</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2</w:t>
            </w: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3</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4</w:t>
            </w: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5</w:t>
            </w:r>
          </w:p>
        </w:tc>
        <w:tc>
          <w:tcPr>
            <w:tcW w:w="7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83ADE" w:rsidRPr="0060544E" w:rsidRDefault="00D83ADE" w:rsidP="00D83ADE">
            <w:pPr>
              <w:pStyle w:val="ChartBodyCentered"/>
            </w:pPr>
            <w:r>
              <w:t>s</w:t>
            </w:r>
            <w:r w:rsidRPr="0060544E">
              <w:t>/</w:t>
            </w:r>
            <w:r>
              <w:t>o</w:t>
            </w:r>
          </w:p>
        </w:tc>
      </w:tr>
      <w:tr w:rsidR="00D83ADE" w:rsidRPr="00DC5E02" w:rsidTr="003B315B">
        <w:trPr>
          <w:trHeight w:val="60"/>
        </w:trPr>
        <w:tc>
          <w:tcPr>
            <w:tcW w:w="19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83ADE" w:rsidRPr="00D76A20" w:rsidRDefault="00D83ADE" w:rsidP="00D83ADE">
            <w:pPr>
              <w:pStyle w:val="ChartBodyLeft"/>
            </w:pPr>
            <w:r w:rsidRPr="00D83ADE">
              <w:rPr>
                <w:lang w:val="fr-CA"/>
              </w:rPr>
              <w:t xml:space="preserve">Toujours en retard ou absent. Nuit à la démarche. Ne respecte pas le rôle des autres. </w:t>
            </w:r>
            <w:proofErr w:type="spellStart"/>
            <w:r w:rsidRPr="00D76A20">
              <w:t>N’est</w:t>
            </w:r>
            <w:proofErr w:type="spellEnd"/>
            <w:r w:rsidRPr="00D76A20">
              <w:t xml:space="preserve"> jamais </w:t>
            </w:r>
            <w:proofErr w:type="spellStart"/>
            <w:r w:rsidRPr="00D76A20">
              <w:t>préparé</w:t>
            </w:r>
            <w:proofErr w:type="spellEnd"/>
            <w:r w:rsidRPr="00D76A20">
              <w:t>.</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D76A20" w:rsidRDefault="00D83ADE" w:rsidP="00D83ADE">
            <w:pPr>
              <w:pStyle w:val="ChartBodyLeft"/>
            </w:pP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D76A20" w:rsidRDefault="00D83ADE" w:rsidP="00D83ADE">
            <w:pPr>
              <w:pStyle w:val="ChartBodyLeft"/>
            </w:pPr>
            <w:r w:rsidRPr="00D83ADE">
              <w:rPr>
                <w:lang w:val="fr-CA"/>
              </w:rPr>
              <w:t xml:space="preserve">Exécute les </w:t>
            </w:r>
            <w:proofErr w:type="spellStart"/>
            <w:r w:rsidRPr="00D83ADE">
              <w:rPr>
                <w:lang w:val="fr-CA"/>
              </w:rPr>
              <w:t>taches</w:t>
            </w:r>
            <w:proofErr w:type="spellEnd"/>
            <w:r w:rsidRPr="00D83ADE">
              <w:rPr>
                <w:lang w:val="fr-CA"/>
              </w:rPr>
              <w:t xml:space="preserve"> assignées de façon fiable. Respecte le rôle et l’opinion d’autrui. </w:t>
            </w:r>
            <w:proofErr w:type="spellStart"/>
            <w:r w:rsidRPr="00D76A20">
              <w:t>Écoute</w:t>
            </w:r>
            <w:proofErr w:type="spellEnd"/>
            <w:r w:rsidRPr="00D76A20">
              <w:t xml:space="preserve"> pour </w:t>
            </w:r>
            <w:proofErr w:type="spellStart"/>
            <w:r w:rsidRPr="00D76A20">
              <w:t>comprendre</w:t>
            </w:r>
            <w:proofErr w:type="spellEnd"/>
            <w:r w:rsidRPr="00D76A20">
              <w:t xml:space="preserve"> et </w:t>
            </w:r>
            <w:proofErr w:type="spellStart"/>
            <w:r w:rsidRPr="00D76A20">
              <w:t>trouver</w:t>
            </w:r>
            <w:proofErr w:type="spellEnd"/>
            <w:r w:rsidRPr="00D76A20">
              <w:t xml:space="preserve"> un terrain </w:t>
            </w:r>
            <w:proofErr w:type="spellStart"/>
            <w:r w:rsidRPr="00D76A20">
              <w:t>d’entente</w:t>
            </w:r>
            <w:proofErr w:type="spellEnd"/>
            <w:r w:rsidRPr="00D76A20">
              <w:t>.</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D76A20" w:rsidRDefault="00D83ADE" w:rsidP="00D83ADE">
            <w:pPr>
              <w:pStyle w:val="ChartBodyLeft"/>
            </w:pP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DC5E02" w:rsidRDefault="00D83ADE" w:rsidP="00D83ADE">
            <w:pPr>
              <w:pStyle w:val="ChartBodyLeft"/>
              <w:rPr>
                <w:lang w:val="fr-CA"/>
              </w:rPr>
            </w:pPr>
            <w:r w:rsidRPr="00DC5E02">
              <w:rPr>
                <w:lang w:val="fr-CA"/>
              </w:rPr>
              <w:t xml:space="preserve">Agit de façon à faire progresser les réunions. Favorise la </w:t>
            </w:r>
            <w:proofErr w:type="spellStart"/>
            <w:r w:rsidRPr="00DC5E02">
              <w:rPr>
                <w:lang w:val="fr-CA"/>
              </w:rPr>
              <w:t>responsabili-sation</w:t>
            </w:r>
            <w:proofErr w:type="spellEnd"/>
            <w:r w:rsidRPr="00DC5E02">
              <w:rPr>
                <w:lang w:val="fr-CA"/>
              </w:rPr>
              <w:t xml:space="preserve"> mutuelle au moment de prendre des décisions en collaboration. </w:t>
            </w:r>
            <w:r w:rsidRPr="00DC5E02">
              <w:rPr>
                <w:lang w:val="fr-CA"/>
              </w:rPr>
              <w:lastRenderedPageBreak/>
              <w:t xml:space="preserve">Favorise le consensus, gère les divergences </w:t>
            </w:r>
            <w:proofErr w:type="gramStart"/>
            <w:r w:rsidRPr="00DC5E02">
              <w:rPr>
                <w:lang w:val="fr-CA"/>
              </w:rPr>
              <w:t>et  règle</w:t>
            </w:r>
            <w:proofErr w:type="gramEnd"/>
            <w:r w:rsidRPr="00DC5E02">
              <w:rPr>
                <w:lang w:val="fr-CA"/>
              </w:rPr>
              <w:t xml:space="preserve"> les conflits.</w:t>
            </w:r>
          </w:p>
        </w:tc>
        <w:tc>
          <w:tcPr>
            <w:tcW w:w="7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83ADE" w:rsidRPr="00DC5E02" w:rsidRDefault="00D83ADE" w:rsidP="00D83ADE">
            <w:pPr>
              <w:pStyle w:val="ChartBodyLeft"/>
              <w:rPr>
                <w:lang w:val="fr-CA"/>
              </w:rPr>
            </w:pPr>
          </w:p>
        </w:tc>
      </w:tr>
    </w:tbl>
    <w:p w:rsidR="00D83ADE" w:rsidRDefault="00D83ADE" w:rsidP="00D83ADE">
      <w:pPr>
        <w:spacing w:after="0"/>
        <w:rPr>
          <w:lang w:val="fr-CA"/>
        </w:rPr>
      </w:pPr>
    </w:p>
    <w:tbl>
      <w:tblPr>
        <w:tblW w:w="10898" w:type="dxa"/>
        <w:tblInd w:w="-8" w:type="dxa"/>
        <w:tblLayout w:type="fixed"/>
        <w:tblCellMar>
          <w:left w:w="0" w:type="dxa"/>
          <w:right w:w="0" w:type="dxa"/>
        </w:tblCellMar>
        <w:tblLook w:val="0000" w:firstRow="0" w:lastRow="0" w:firstColumn="0" w:lastColumn="0" w:noHBand="0" w:noVBand="0"/>
      </w:tblPr>
      <w:tblGrid>
        <w:gridCol w:w="98"/>
        <w:gridCol w:w="1980"/>
        <w:gridCol w:w="82"/>
        <w:gridCol w:w="1988"/>
        <w:gridCol w:w="172"/>
        <w:gridCol w:w="1808"/>
        <w:gridCol w:w="352"/>
        <w:gridCol w:w="1718"/>
        <w:gridCol w:w="442"/>
        <w:gridCol w:w="1538"/>
        <w:gridCol w:w="622"/>
        <w:gridCol w:w="98"/>
      </w:tblGrid>
      <w:tr w:rsidR="00D83ADE" w:rsidRPr="00DC5E02" w:rsidTr="00D83ADE">
        <w:trPr>
          <w:gridBefore w:val="1"/>
          <w:wBefore w:w="98" w:type="dxa"/>
          <w:trHeight w:val="60"/>
        </w:trPr>
        <w:tc>
          <w:tcPr>
            <w:tcW w:w="10800" w:type="dxa"/>
            <w:gridSpan w:val="11"/>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83ADE" w:rsidRPr="00DC5E02" w:rsidRDefault="00D83ADE" w:rsidP="00D83ADE">
            <w:pPr>
              <w:pStyle w:val="ChartHead"/>
              <w:rPr>
                <w:lang w:val="fr-CA"/>
              </w:rPr>
            </w:pPr>
            <w:r w:rsidRPr="00DC5E02">
              <w:rPr>
                <w:lang w:val="fr-CA"/>
              </w:rPr>
              <w:t>Communication dans les réunions d’équipe</w:t>
            </w:r>
          </w:p>
        </w:tc>
      </w:tr>
      <w:tr w:rsidR="00D83ADE" w:rsidRPr="0060544E" w:rsidTr="00D83ADE">
        <w:trPr>
          <w:gridBefore w:val="1"/>
          <w:wBefore w:w="98" w:type="dxa"/>
          <w:trHeight w:val="60"/>
        </w:trPr>
        <w:tc>
          <w:tcPr>
            <w:tcW w:w="19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1</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2</w:t>
            </w: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3</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4</w:t>
            </w: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5</w:t>
            </w:r>
          </w:p>
        </w:tc>
        <w:tc>
          <w:tcPr>
            <w:tcW w:w="720" w:type="dxa"/>
            <w:gridSpan w:val="2"/>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83ADE" w:rsidRPr="0060544E" w:rsidRDefault="00D83ADE" w:rsidP="00D83ADE">
            <w:pPr>
              <w:pStyle w:val="ChartBodyCentered"/>
            </w:pPr>
            <w:r>
              <w:t>s/o</w:t>
            </w:r>
          </w:p>
        </w:tc>
      </w:tr>
      <w:tr w:rsidR="00D83ADE" w:rsidRPr="00D76A20" w:rsidTr="00D83ADE">
        <w:trPr>
          <w:gridBefore w:val="1"/>
          <w:wBefore w:w="98" w:type="dxa"/>
          <w:trHeight w:val="60"/>
        </w:trPr>
        <w:tc>
          <w:tcPr>
            <w:tcW w:w="19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83ADE" w:rsidRPr="00D83ADE" w:rsidRDefault="00D83ADE" w:rsidP="00D83ADE">
            <w:pPr>
              <w:pStyle w:val="ChartBodyLeft"/>
              <w:rPr>
                <w:lang w:val="fr-CA"/>
              </w:rPr>
            </w:pPr>
            <w:r w:rsidRPr="00D83ADE">
              <w:rPr>
                <w:lang w:val="fr-CA"/>
              </w:rPr>
              <w:t>N’écoute pas avec respect. Communication verbale et non verbale qui perturbe la démarche.</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D83ADE" w:rsidRDefault="00D83ADE" w:rsidP="00D83ADE">
            <w:pPr>
              <w:pStyle w:val="ChartBodyLeft"/>
              <w:rPr>
                <w:lang w:val="fr-CA"/>
              </w:rPr>
            </w:pP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D83ADE" w:rsidRDefault="00D83ADE" w:rsidP="00D83ADE">
            <w:pPr>
              <w:pStyle w:val="ChartBodyLeft"/>
              <w:rPr>
                <w:lang w:val="fr-CA"/>
              </w:rPr>
            </w:pPr>
            <w:r w:rsidRPr="00D83ADE">
              <w:rPr>
                <w:lang w:val="fr-CA"/>
              </w:rPr>
              <w:t>Communique clairement et directement. Utilise des techniques d’écoute axées sur la réflexion. Reconnaît les questions, préoccupations et contributions des autres et y réagit.</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D83ADE" w:rsidRDefault="00D83ADE" w:rsidP="00D83ADE">
            <w:pPr>
              <w:pStyle w:val="ChartBodyLeft"/>
              <w:rPr>
                <w:lang w:val="fr-CA"/>
              </w:rPr>
            </w:pP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D76A20" w:rsidRDefault="00D83ADE" w:rsidP="00D83ADE">
            <w:pPr>
              <w:pStyle w:val="ChartBodyLeft"/>
            </w:pPr>
            <w:r w:rsidRPr="00D83ADE">
              <w:rPr>
                <w:lang w:val="fr-CA"/>
              </w:rPr>
              <w:t xml:space="preserve">Reconnaît les problèmes de communication et sait les régler avec adresse. </w:t>
            </w:r>
            <w:proofErr w:type="spellStart"/>
            <w:r w:rsidRPr="00D76A20">
              <w:t>Maintient</w:t>
            </w:r>
            <w:proofErr w:type="spellEnd"/>
            <w:r w:rsidRPr="00D76A20">
              <w:t xml:space="preserve"> et </w:t>
            </w:r>
            <w:proofErr w:type="spellStart"/>
            <w:r w:rsidRPr="00D76A20">
              <w:t>coordonne</w:t>
            </w:r>
            <w:proofErr w:type="spellEnd"/>
            <w:r w:rsidRPr="00D76A20">
              <w:t xml:space="preserve"> la communication </w:t>
            </w:r>
            <w:proofErr w:type="spellStart"/>
            <w:r w:rsidRPr="00D76A20">
              <w:t>nécessaire</w:t>
            </w:r>
            <w:proofErr w:type="spellEnd"/>
            <w:r w:rsidRPr="00D76A20">
              <w:t xml:space="preserve"> hors des </w:t>
            </w:r>
            <w:proofErr w:type="spellStart"/>
            <w:r w:rsidRPr="00D76A20">
              <w:t>réunions</w:t>
            </w:r>
            <w:proofErr w:type="spellEnd"/>
            <w:r w:rsidRPr="00D76A20">
              <w:t>.</w:t>
            </w:r>
          </w:p>
        </w:tc>
        <w:tc>
          <w:tcPr>
            <w:tcW w:w="720" w:type="dxa"/>
            <w:gridSpan w:val="2"/>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83ADE" w:rsidRPr="00D76A20" w:rsidRDefault="00D83ADE" w:rsidP="00D83ADE">
            <w:pPr>
              <w:pStyle w:val="ChartBodyLeft"/>
            </w:pPr>
          </w:p>
        </w:tc>
      </w:tr>
      <w:tr w:rsidR="00D83ADE" w:rsidRPr="00D83ADE" w:rsidTr="00D83ADE">
        <w:trPr>
          <w:gridBefore w:val="1"/>
          <w:wBefore w:w="98" w:type="dxa"/>
          <w:trHeight w:val="60"/>
        </w:trPr>
        <w:tc>
          <w:tcPr>
            <w:tcW w:w="10800" w:type="dxa"/>
            <w:gridSpan w:val="11"/>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83ADE" w:rsidRPr="00D83ADE" w:rsidRDefault="00D83ADE" w:rsidP="00D83ADE">
            <w:pPr>
              <w:pStyle w:val="ChartHead"/>
              <w:rPr>
                <w:lang w:val="fr-CA"/>
              </w:rPr>
            </w:pPr>
            <w:r w:rsidRPr="00D83ADE">
              <w:rPr>
                <w:lang w:val="fr-CA"/>
              </w:rPr>
              <w:t>Compétences en leadership dans les réunions d’équipe</w:t>
            </w:r>
          </w:p>
        </w:tc>
      </w:tr>
      <w:tr w:rsidR="00D83ADE" w:rsidRPr="0060544E" w:rsidTr="00D83ADE">
        <w:trPr>
          <w:gridBefore w:val="1"/>
          <w:wBefore w:w="98" w:type="dxa"/>
          <w:trHeight w:val="60"/>
        </w:trPr>
        <w:tc>
          <w:tcPr>
            <w:tcW w:w="19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1</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2</w:t>
            </w: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3</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4</w:t>
            </w: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5</w:t>
            </w:r>
          </w:p>
        </w:tc>
        <w:tc>
          <w:tcPr>
            <w:tcW w:w="720" w:type="dxa"/>
            <w:gridSpan w:val="2"/>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83ADE" w:rsidRPr="0060544E" w:rsidRDefault="00D83ADE" w:rsidP="00D83ADE">
            <w:pPr>
              <w:pStyle w:val="ChartBodyCentered"/>
            </w:pPr>
            <w:r>
              <w:t>s</w:t>
            </w:r>
            <w:r w:rsidRPr="0060544E">
              <w:t>/</w:t>
            </w:r>
            <w:r>
              <w:t>o</w:t>
            </w:r>
          </w:p>
        </w:tc>
      </w:tr>
      <w:tr w:rsidR="00D83ADE" w:rsidRPr="00D76A20" w:rsidTr="00D83ADE">
        <w:trPr>
          <w:gridBefore w:val="1"/>
          <w:wBefore w:w="98" w:type="dxa"/>
          <w:trHeight w:val="60"/>
        </w:trPr>
        <w:tc>
          <w:tcPr>
            <w:tcW w:w="19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83ADE" w:rsidRPr="00D76A20" w:rsidRDefault="00D83ADE" w:rsidP="00D83ADE">
            <w:pPr>
              <w:pStyle w:val="ChartBodyLeft"/>
            </w:pPr>
            <w:r w:rsidRPr="00D83ADE">
              <w:rPr>
                <w:lang w:val="fr-CA"/>
              </w:rPr>
              <w:t xml:space="preserve">Évite ou refuse </w:t>
            </w:r>
            <w:proofErr w:type="spellStart"/>
            <w:r w:rsidRPr="00D83ADE">
              <w:rPr>
                <w:lang w:val="fr-CA"/>
              </w:rPr>
              <w:t>systématique-ment</w:t>
            </w:r>
            <w:proofErr w:type="spellEnd"/>
            <w:r w:rsidRPr="00D83ADE">
              <w:rPr>
                <w:lang w:val="fr-CA"/>
              </w:rPr>
              <w:t xml:space="preserve"> les responsabilités liées au leadership. </w:t>
            </w:r>
            <w:r w:rsidRPr="00D76A20">
              <w:t xml:space="preserve">Est incapable de </w:t>
            </w:r>
            <w:proofErr w:type="spellStart"/>
            <w:r w:rsidRPr="00D76A20">
              <w:t>suivre</w:t>
            </w:r>
            <w:proofErr w:type="spellEnd"/>
            <w:r w:rsidRPr="00D76A20">
              <w:t xml:space="preserve"> </w:t>
            </w:r>
            <w:proofErr w:type="spellStart"/>
            <w:r w:rsidRPr="00D76A20">
              <w:t>l’orientation</w:t>
            </w:r>
            <w:proofErr w:type="spellEnd"/>
            <w:r w:rsidRPr="00D76A20">
              <w:t xml:space="preserve"> </w:t>
            </w:r>
            <w:proofErr w:type="spellStart"/>
            <w:r w:rsidRPr="00D76A20">
              <w:t>d’autrui</w:t>
            </w:r>
            <w:proofErr w:type="spellEnd"/>
            <w:r w:rsidRPr="00D76A20">
              <w:t>.</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D76A20" w:rsidRDefault="00D83ADE" w:rsidP="00D83ADE">
            <w:pPr>
              <w:pStyle w:val="ChartBodyLeft"/>
            </w:pP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D76A20" w:rsidRDefault="00D83ADE" w:rsidP="00D83ADE">
            <w:pPr>
              <w:pStyle w:val="ChartBodyLeft"/>
            </w:pPr>
            <w:r w:rsidRPr="00D83ADE">
              <w:rPr>
                <w:lang w:val="fr-CA"/>
              </w:rPr>
              <w:t xml:space="preserve">Salue la différence. Prend appui sur l’opinion des autres. Appuie les efforts de recherche de consensus. </w:t>
            </w:r>
            <w:r w:rsidRPr="00D76A20">
              <w:t xml:space="preserve">Encourage les points de </w:t>
            </w:r>
            <w:proofErr w:type="spellStart"/>
            <w:r w:rsidRPr="00D76A20">
              <w:t>vue</w:t>
            </w:r>
            <w:proofErr w:type="spellEnd"/>
            <w:r w:rsidRPr="00D76A20">
              <w:t xml:space="preserve"> </w:t>
            </w:r>
            <w:proofErr w:type="spellStart"/>
            <w:r w:rsidRPr="00D76A20">
              <w:t>variés</w:t>
            </w:r>
            <w:proofErr w:type="spellEnd"/>
            <w:r w:rsidRPr="00D76A20">
              <w:t>.</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D76A20" w:rsidRDefault="00D83ADE" w:rsidP="00D83ADE">
            <w:pPr>
              <w:pStyle w:val="ChartBodyLeft"/>
            </w:pP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D76A20" w:rsidRDefault="00D83ADE" w:rsidP="00D83ADE">
            <w:pPr>
              <w:pStyle w:val="ChartBodyLeft"/>
            </w:pPr>
            <w:r w:rsidRPr="00D83ADE">
              <w:rPr>
                <w:lang w:val="fr-CA"/>
              </w:rPr>
              <w:t xml:space="preserve">Approche souple et conscience situationnelle. Délègue les responsabilités avec respect et partage le pouvoir. </w:t>
            </w:r>
            <w:proofErr w:type="spellStart"/>
            <w:r w:rsidRPr="00D76A20">
              <w:t>Sait</w:t>
            </w:r>
            <w:proofErr w:type="spellEnd"/>
            <w:r w:rsidRPr="00D76A20">
              <w:t xml:space="preserve"> </w:t>
            </w:r>
            <w:proofErr w:type="spellStart"/>
            <w:r w:rsidRPr="00D76A20">
              <w:t>suivre</w:t>
            </w:r>
            <w:proofErr w:type="spellEnd"/>
            <w:r w:rsidRPr="00D76A20">
              <w:t xml:space="preserve"> </w:t>
            </w:r>
            <w:proofErr w:type="spellStart"/>
            <w:r w:rsidRPr="00D76A20">
              <w:t>l’orientation</w:t>
            </w:r>
            <w:proofErr w:type="spellEnd"/>
            <w:r w:rsidRPr="00D76A20">
              <w:t xml:space="preserve"> </w:t>
            </w:r>
            <w:proofErr w:type="spellStart"/>
            <w:r w:rsidRPr="00D76A20">
              <w:t>d’autrui</w:t>
            </w:r>
            <w:proofErr w:type="spellEnd"/>
            <w:r w:rsidRPr="00D76A20">
              <w:t xml:space="preserve"> </w:t>
            </w:r>
            <w:proofErr w:type="spellStart"/>
            <w:r w:rsidRPr="00D76A20">
              <w:t>lorsque</w:t>
            </w:r>
            <w:proofErr w:type="spellEnd"/>
            <w:r w:rsidRPr="00D76A20">
              <w:t xml:space="preserve"> </w:t>
            </w:r>
            <w:proofErr w:type="spellStart"/>
            <w:r w:rsidRPr="00D76A20">
              <w:t>cela</w:t>
            </w:r>
            <w:proofErr w:type="spellEnd"/>
            <w:r w:rsidRPr="00D76A20">
              <w:t xml:space="preserve"> </w:t>
            </w:r>
            <w:proofErr w:type="spellStart"/>
            <w:r w:rsidRPr="00D76A20">
              <w:t>est</w:t>
            </w:r>
            <w:proofErr w:type="spellEnd"/>
            <w:r w:rsidRPr="00D76A20">
              <w:t xml:space="preserve"> </w:t>
            </w:r>
            <w:proofErr w:type="spellStart"/>
            <w:r w:rsidRPr="00D76A20">
              <w:t>préférable</w:t>
            </w:r>
            <w:proofErr w:type="spellEnd"/>
            <w:r w:rsidRPr="00D76A20">
              <w:t>.</w:t>
            </w:r>
          </w:p>
        </w:tc>
        <w:tc>
          <w:tcPr>
            <w:tcW w:w="720" w:type="dxa"/>
            <w:gridSpan w:val="2"/>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83ADE" w:rsidRPr="00D76A20" w:rsidRDefault="00D83ADE" w:rsidP="00D83ADE">
            <w:pPr>
              <w:pStyle w:val="ChartBodyLeft"/>
            </w:pPr>
          </w:p>
        </w:tc>
      </w:tr>
      <w:tr w:rsidR="00D83ADE" w:rsidRPr="00D83ADE" w:rsidTr="00D83ADE">
        <w:trPr>
          <w:gridBefore w:val="1"/>
          <w:wBefore w:w="98" w:type="dxa"/>
          <w:trHeight w:val="60"/>
        </w:trPr>
        <w:tc>
          <w:tcPr>
            <w:tcW w:w="10800" w:type="dxa"/>
            <w:gridSpan w:val="11"/>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83ADE" w:rsidRPr="00D83ADE" w:rsidRDefault="00D83ADE" w:rsidP="00D83ADE">
            <w:pPr>
              <w:pStyle w:val="ChartHead"/>
              <w:rPr>
                <w:lang w:val="fr-CA"/>
              </w:rPr>
            </w:pPr>
            <w:r w:rsidRPr="00D83ADE">
              <w:rPr>
                <w:lang w:val="fr-CA"/>
              </w:rPr>
              <w:t>Gestion des divergences et des conflits dans les réunions d’équipe</w:t>
            </w:r>
          </w:p>
        </w:tc>
      </w:tr>
      <w:tr w:rsidR="00D83ADE" w:rsidRPr="0060544E" w:rsidTr="00D83ADE">
        <w:trPr>
          <w:gridBefore w:val="1"/>
          <w:wBefore w:w="98" w:type="dxa"/>
          <w:trHeight w:val="60"/>
        </w:trPr>
        <w:tc>
          <w:tcPr>
            <w:tcW w:w="19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1</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2</w:t>
            </w: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3</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4</w:t>
            </w: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60544E" w:rsidRDefault="00D83ADE" w:rsidP="00D83ADE">
            <w:pPr>
              <w:pStyle w:val="ChartBodyCentered"/>
            </w:pPr>
            <w:r w:rsidRPr="0060544E">
              <w:t>5</w:t>
            </w:r>
          </w:p>
        </w:tc>
        <w:tc>
          <w:tcPr>
            <w:tcW w:w="720" w:type="dxa"/>
            <w:gridSpan w:val="2"/>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83ADE" w:rsidRPr="0060544E" w:rsidRDefault="00D83ADE" w:rsidP="00D83ADE">
            <w:pPr>
              <w:pStyle w:val="ChartBodyCentered"/>
            </w:pPr>
            <w:r>
              <w:t>s</w:t>
            </w:r>
            <w:r w:rsidRPr="0060544E">
              <w:t>/</w:t>
            </w:r>
            <w:r>
              <w:t>o</w:t>
            </w:r>
          </w:p>
        </w:tc>
      </w:tr>
      <w:tr w:rsidR="00D83ADE" w:rsidRPr="00D83ADE" w:rsidTr="00D83ADE">
        <w:trPr>
          <w:gridBefore w:val="1"/>
          <w:wBefore w:w="98" w:type="dxa"/>
          <w:trHeight w:val="60"/>
        </w:trPr>
        <w:tc>
          <w:tcPr>
            <w:tcW w:w="19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83ADE" w:rsidRPr="00D76A20" w:rsidRDefault="00D83ADE" w:rsidP="00D83ADE">
            <w:pPr>
              <w:pStyle w:val="ChartBodyLeft"/>
            </w:pPr>
            <w:r w:rsidRPr="00D83ADE">
              <w:rPr>
                <w:lang w:val="fr-CA"/>
              </w:rPr>
              <w:t xml:space="preserve">Argumente continuellement Ne reconnaît pas son propre apport aux divergences ou aux conflits. </w:t>
            </w:r>
            <w:proofErr w:type="spellStart"/>
            <w:r w:rsidRPr="00D76A20">
              <w:t>Contredit</w:t>
            </w:r>
            <w:proofErr w:type="spellEnd"/>
            <w:r w:rsidRPr="00D76A20">
              <w:t xml:space="preserve"> la </w:t>
            </w:r>
            <w:proofErr w:type="spellStart"/>
            <w:r w:rsidRPr="00D76A20">
              <w:t>rétroaction</w:t>
            </w:r>
            <w:proofErr w:type="spellEnd"/>
            <w:r w:rsidRPr="00D76A20">
              <w:t>.</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D76A20" w:rsidRDefault="00D83ADE" w:rsidP="00D83ADE">
            <w:pPr>
              <w:pStyle w:val="ChartBodyLeft"/>
            </w:pP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D83ADE" w:rsidRDefault="00D83ADE" w:rsidP="00D83ADE">
            <w:pPr>
              <w:pStyle w:val="ChartBodyLeft"/>
              <w:rPr>
                <w:lang w:val="fr-CA"/>
              </w:rPr>
            </w:pPr>
            <w:r w:rsidRPr="00D83ADE">
              <w:rPr>
                <w:lang w:val="fr-CA"/>
              </w:rPr>
              <w:t>Cerne et gère les divergences de façon constructive. Écoute pour comprendre et trouver un terrain d’entente. Se montre prêt à donner suite à la rétroaction reçue.</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D83ADE" w:rsidRDefault="00D83ADE" w:rsidP="00D83ADE">
            <w:pPr>
              <w:pStyle w:val="ChartBodyLeft"/>
              <w:rPr>
                <w:lang w:val="fr-CA"/>
              </w:rPr>
            </w:pP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83ADE" w:rsidRPr="00D83ADE" w:rsidRDefault="00D83ADE" w:rsidP="00D83ADE">
            <w:pPr>
              <w:pStyle w:val="ChartBodyLeft"/>
              <w:rPr>
                <w:lang w:val="fr-CA"/>
              </w:rPr>
            </w:pPr>
            <w:r w:rsidRPr="00D83ADE">
              <w:rPr>
                <w:lang w:val="fr-CA"/>
              </w:rPr>
              <w:t>Agit de façon proactive pour désamorcer ou résoudre les conflits avec les membres de l’équipe, quel que soit le contexte.</w:t>
            </w:r>
          </w:p>
        </w:tc>
        <w:tc>
          <w:tcPr>
            <w:tcW w:w="720" w:type="dxa"/>
            <w:gridSpan w:val="2"/>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83ADE" w:rsidRPr="00D83ADE" w:rsidRDefault="00D83ADE" w:rsidP="00D83ADE">
            <w:pPr>
              <w:pStyle w:val="ChartBodyLeft"/>
              <w:rPr>
                <w:lang w:val="fr-CA"/>
              </w:rPr>
            </w:pPr>
          </w:p>
        </w:tc>
      </w:tr>
      <w:tr w:rsidR="00D83ADE" w:rsidRPr="00D83ADE" w:rsidTr="00D83ADE">
        <w:trPr>
          <w:gridAfter w:val="1"/>
          <w:wAfter w:w="98" w:type="dxa"/>
          <w:trHeight w:val="60"/>
        </w:trPr>
        <w:tc>
          <w:tcPr>
            <w:tcW w:w="10800" w:type="dxa"/>
            <w:gridSpan w:val="11"/>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D83ADE" w:rsidRPr="00D83ADE" w:rsidRDefault="00D83ADE" w:rsidP="00D83ADE">
            <w:pPr>
              <w:pStyle w:val="ChartHead"/>
              <w:rPr>
                <w:lang w:val="fr-CA"/>
              </w:rPr>
            </w:pPr>
            <w:r w:rsidRPr="00D83ADE">
              <w:rPr>
                <w:lang w:val="fr-CA"/>
              </w:rPr>
              <w:lastRenderedPageBreak/>
              <w:t>PERFORMANCE GÉNÉRALE DANS LES RÉUNIONS D’ÉQUIPE</w:t>
            </w:r>
          </w:p>
        </w:tc>
      </w:tr>
      <w:tr w:rsidR="00D83ADE" w:rsidRPr="0060544E" w:rsidTr="00D83ADE">
        <w:trPr>
          <w:gridAfter w:val="1"/>
          <w:wAfter w:w="98" w:type="dxa"/>
          <w:trHeight w:val="60"/>
        </w:trPr>
        <w:tc>
          <w:tcPr>
            <w:tcW w:w="2160" w:type="dxa"/>
            <w:gridSpan w:val="3"/>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D83ADE" w:rsidRPr="0060544E" w:rsidRDefault="00D83ADE" w:rsidP="00D83ADE">
            <w:pPr>
              <w:pStyle w:val="ChartBodyCentered"/>
            </w:pPr>
            <w:r w:rsidRPr="0060544E">
              <w:t>1</w:t>
            </w:r>
          </w:p>
        </w:tc>
        <w:tc>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83ADE" w:rsidRPr="0060544E" w:rsidRDefault="00D83ADE" w:rsidP="00D83ADE">
            <w:pPr>
              <w:pStyle w:val="ChartBodyCentered"/>
            </w:pPr>
            <w:r w:rsidRPr="0060544E">
              <w:t>2</w:t>
            </w:r>
          </w:p>
        </w:tc>
        <w:tc>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83ADE" w:rsidRPr="0060544E" w:rsidRDefault="00D83ADE" w:rsidP="00D83ADE">
            <w:pPr>
              <w:pStyle w:val="ChartBodyCentered"/>
            </w:pPr>
            <w:r w:rsidRPr="0060544E">
              <w:t>3</w:t>
            </w:r>
          </w:p>
        </w:tc>
        <w:tc>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83ADE" w:rsidRPr="0060544E" w:rsidRDefault="00D83ADE" w:rsidP="00D83ADE">
            <w:pPr>
              <w:pStyle w:val="ChartBodyCentered"/>
            </w:pPr>
            <w:r w:rsidRPr="0060544E">
              <w:t>4</w:t>
            </w:r>
          </w:p>
        </w:tc>
        <w:tc>
          <w:tcPr>
            <w:tcW w:w="2160" w:type="dxa"/>
            <w:gridSpan w:val="2"/>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D83ADE" w:rsidRPr="0060544E" w:rsidRDefault="00D83ADE" w:rsidP="00D83ADE">
            <w:pPr>
              <w:pStyle w:val="ChartBodyCentered"/>
            </w:pPr>
            <w:r w:rsidRPr="0060544E">
              <w:t>5</w:t>
            </w:r>
          </w:p>
        </w:tc>
      </w:tr>
      <w:tr w:rsidR="00D83ADE" w:rsidRPr="0060544E" w:rsidTr="00D83ADE">
        <w:trPr>
          <w:gridAfter w:val="1"/>
          <w:wAfter w:w="98" w:type="dxa"/>
          <w:trHeight w:val="60"/>
        </w:trPr>
        <w:tc>
          <w:tcPr>
            <w:tcW w:w="2160" w:type="dxa"/>
            <w:gridSpan w:val="3"/>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D83ADE" w:rsidRPr="0060544E" w:rsidRDefault="00D83ADE" w:rsidP="00D83ADE">
            <w:pPr>
              <w:pStyle w:val="ChartBodyCentered"/>
            </w:pPr>
            <w:proofErr w:type="spellStart"/>
            <w:r>
              <w:t>Insatisfaisant</w:t>
            </w:r>
            <w:proofErr w:type="spellEnd"/>
          </w:p>
        </w:tc>
        <w:tc>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83ADE" w:rsidRPr="0060544E" w:rsidRDefault="00D83ADE" w:rsidP="00D83ADE">
            <w:pPr>
              <w:pStyle w:val="ChartBodyCentered"/>
            </w:pPr>
          </w:p>
        </w:tc>
        <w:tc>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83ADE" w:rsidRPr="0060544E" w:rsidRDefault="00D83ADE" w:rsidP="00D83ADE">
            <w:pPr>
              <w:pStyle w:val="ChartBodyCentered"/>
            </w:pPr>
            <w:r>
              <w:t xml:space="preserve">Bonne </w:t>
            </w:r>
            <w:r w:rsidRPr="0060544E">
              <w:t>performance</w:t>
            </w:r>
          </w:p>
        </w:tc>
        <w:tc>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83ADE" w:rsidRPr="0060544E" w:rsidRDefault="00D83ADE" w:rsidP="00D83ADE">
            <w:pPr>
              <w:pStyle w:val="ChartBodyCentered"/>
            </w:pPr>
          </w:p>
        </w:tc>
        <w:tc>
          <w:tcPr>
            <w:tcW w:w="2160" w:type="dxa"/>
            <w:gridSpan w:val="2"/>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D83ADE" w:rsidRPr="0060544E" w:rsidRDefault="00D83ADE" w:rsidP="00D83ADE">
            <w:pPr>
              <w:pStyle w:val="ChartBodyCentered"/>
            </w:pPr>
            <w:r>
              <w:t xml:space="preserve">Performance </w:t>
            </w:r>
            <w:proofErr w:type="spellStart"/>
            <w:r>
              <w:t>supérieure</w:t>
            </w:r>
            <w:proofErr w:type="spellEnd"/>
          </w:p>
        </w:tc>
      </w:tr>
      <w:tr w:rsidR="00D83ADE" w:rsidRPr="00D83ADE" w:rsidTr="00D83ADE">
        <w:trPr>
          <w:gridAfter w:val="1"/>
          <w:wAfter w:w="98" w:type="dxa"/>
          <w:trHeight w:val="60"/>
        </w:trPr>
        <w:tc>
          <w:tcPr>
            <w:tcW w:w="2160" w:type="dxa"/>
            <w:gridSpan w:val="3"/>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D83ADE" w:rsidRPr="00D83ADE" w:rsidRDefault="00D83ADE" w:rsidP="00D83ADE">
            <w:pPr>
              <w:pStyle w:val="ChartBodyLeft"/>
              <w:rPr>
                <w:lang w:val="fr-CA"/>
              </w:rPr>
            </w:pPr>
            <w:r w:rsidRPr="00D83ADE">
              <w:rPr>
                <w:lang w:val="fr-CA"/>
              </w:rPr>
              <w:t>Inférieur au niveau acceptable minimal pour un apprenant à ce stade de formation.</w:t>
            </w:r>
          </w:p>
        </w:tc>
        <w:tc>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83ADE" w:rsidRPr="00D83ADE" w:rsidRDefault="00D83ADE" w:rsidP="00D83ADE">
            <w:pPr>
              <w:pStyle w:val="ChartBodyLeft"/>
              <w:rPr>
                <w:lang w:val="fr-CA"/>
              </w:rPr>
            </w:pPr>
          </w:p>
        </w:tc>
        <w:tc>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83ADE" w:rsidRPr="00D83ADE" w:rsidRDefault="00D83ADE" w:rsidP="00D83ADE">
            <w:pPr>
              <w:pStyle w:val="ChartBodyLeft"/>
              <w:rPr>
                <w:lang w:val="fr-CA"/>
              </w:rPr>
            </w:pPr>
            <w:r w:rsidRPr="00D83ADE">
              <w:rPr>
                <w:lang w:val="fr-CA"/>
              </w:rPr>
              <w:t>Démontre la capacité de travailler avec compétence. Satisfait les attentes associées à son stade de formation</w:t>
            </w:r>
          </w:p>
        </w:tc>
        <w:tc>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83ADE" w:rsidRPr="00D83ADE" w:rsidRDefault="00D83ADE" w:rsidP="00D83ADE">
            <w:pPr>
              <w:pStyle w:val="ChartBodyLeft"/>
              <w:rPr>
                <w:lang w:val="fr-CA"/>
              </w:rPr>
            </w:pPr>
          </w:p>
        </w:tc>
        <w:tc>
          <w:tcPr>
            <w:tcW w:w="2160" w:type="dxa"/>
            <w:gridSpan w:val="2"/>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D83ADE" w:rsidRPr="00D83ADE" w:rsidRDefault="00D83ADE" w:rsidP="00D83ADE">
            <w:pPr>
              <w:pStyle w:val="ChartBodyLeft"/>
              <w:rPr>
                <w:lang w:val="fr-CA"/>
              </w:rPr>
            </w:pPr>
            <w:r w:rsidRPr="00D83ADE">
              <w:rPr>
                <w:lang w:val="fr-CA"/>
              </w:rPr>
              <w:t>Dépasse largement les critères de rendement liés à son stade de formation.</w:t>
            </w:r>
          </w:p>
        </w:tc>
      </w:tr>
    </w:tbl>
    <w:p w:rsidR="00D83ADE" w:rsidRDefault="00D83ADE" w:rsidP="00D83ADE">
      <w:pPr>
        <w:spacing w:after="0"/>
        <w:rPr>
          <w:lang w:val="fr-CA"/>
        </w:rPr>
      </w:pPr>
    </w:p>
    <w:tbl>
      <w:tblPr>
        <w:tblW w:w="0" w:type="auto"/>
        <w:tblInd w:w="80" w:type="dxa"/>
        <w:tblLayout w:type="fixed"/>
        <w:tblCellMar>
          <w:left w:w="0" w:type="dxa"/>
          <w:right w:w="0" w:type="dxa"/>
        </w:tblCellMar>
        <w:tblLook w:val="0000" w:firstRow="0" w:lastRow="0" w:firstColumn="0" w:lastColumn="0" w:noHBand="0" w:noVBand="0"/>
      </w:tblPr>
      <w:tblGrid>
        <w:gridCol w:w="5355"/>
        <w:gridCol w:w="5355"/>
      </w:tblGrid>
      <w:tr w:rsidR="00D83ADE" w:rsidRPr="0060544E" w:rsidTr="003B315B">
        <w:trPr>
          <w:trHeight w:val="60"/>
        </w:trPr>
        <w:tc>
          <w:tcPr>
            <w:tcW w:w="5355"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D83ADE" w:rsidRDefault="00D83ADE" w:rsidP="00D83ADE">
            <w:pPr>
              <w:pStyle w:val="ChartBodyLeft"/>
            </w:pPr>
            <w:proofErr w:type="spellStart"/>
            <w:r w:rsidRPr="0060544E">
              <w:t>D</w:t>
            </w:r>
            <w:r>
              <w:t>écrire</w:t>
            </w:r>
            <w:proofErr w:type="spellEnd"/>
            <w:r>
              <w:t xml:space="preserve"> les FORCES</w:t>
            </w:r>
          </w:p>
          <w:p w:rsidR="00D83ADE" w:rsidRDefault="00D83ADE" w:rsidP="00D83ADE">
            <w:pPr>
              <w:pStyle w:val="ChartBodyLeft"/>
            </w:pPr>
          </w:p>
          <w:p w:rsidR="00D83ADE" w:rsidRDefault="00D83ADE" w:rsidP="00D83ADE">
            <w:pPr>
              <w:pStyle w:val="ChartBodyLeft"/>
            </w:pPr>
          </w:p>
          <w:p w:rsidR="00D83ADE" w:rsidRDefault="00D83ADE" w:rsidP="00D83ADE">
            <w:pPr>
              <w:pStyle w:val="ChartBodyLeft"/>
            </w:pPr>
          </w:p>
          <w:p w:rsidR="00D83ADE" w:rsidRDefault="00D83ADE" w:rsidP="00D83ADE">
            <w:pPr>
              <w:pStyle w:val="ChartBodyLeft"/>
            </w:pPr>
          </w:p>
          <w:p w:rsidR="00D83ADE" w:rsidRDefault="00D83ADE" w:rsidP="00D83ADE">
            <w:pPr>
              <w:pStyle w:val="ChartBodyLeft"/>
            </w:pPr>
          </w:p>
          <w:p w:rsidR="00D83ADE" w:rsidRDefault="00D83ADE" w:rsidP="00D83ADE">
            <w:pPr>
              <w:pStyle w:val="ChartBodyLeft"/>
            </w:pPr>
          </w:p>
          <w:p w:rsidR="00D83ADE" w:rsidRDefault="00D83ADE" w:rsidP="00D83ADE">
            <w:pPr>
              <w:pStyle w:val="ChartBodyLeft"/>
            </w:pPr>
          </w:p>
          <w:p w:rsidR="00D83ADE" w:rsidRDefault="00D83ADE" w:rsidP="00D83ADE">
            <w:pPr>
              <w:pStyle w:val="ChartBodyLeft"/>
            </w:pPr>
          </w:p>
          <w:p w:rsidR="00D83ADE" w:rsidRDefault="00D83ADE" w:rsidP="00D83ADE">
            <w:pPr>
              <w:pStyle w:val="ChartBodyLeft"/>
            </w:pPr>
          </w:p>
          <w:p w:rsidR="00D83ADE" w:rsidRDefault="00D83ADE" w:rsidP="00D83ADE">
            <w:pPr>
              <w:pStyle w:val="ChartBodyLeft"/>
            </w:pPr>
          </w:p>
          <w:p w:rsidR="00D83ADE" w:rsidRPr="0060544E" w:rsidRDefault="00D83ADE" w:rsidP="00D83ADE">
            <w:pPr>
              <w:pStyle w:val="ChartBodyLeft"/>
            </w:pPr>
          </w:p>
        </w:tc>
        <w:tc>
          <w:tcPr>
            <w:tcW w:w="5355"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D83ADE" w:rsidRPr="0060544E" w:rsidRDefault="00D83ADE" w:rsidP="00D83ADE">
            <w:pPr>
              <w:pStyle w:val="ChartBodyLeft"/>
            </w:pPr>
            <w:proofErr w:type="spellStart"/>
            <w:r>
              <w:t>Domaines</w:t>
            </w:r>
            <w:proofErr w:type="spellEnd"/>
            <w:r>
              <w:t>/</w:t>
            </w:r>
            <w:proofErr w:type="spellStart"/>
            <w:r>
              <w:t>mesures</w:t>
            </w:r>
            <w:proofErr w:type="spellEnd"/>
            <w:r>
              <w:t xml:space="preserve"> </w:t>
            </w:r>
            <w:proofErr w:type="spellStart"/>
            <w:r>
              <w:t>d’amélioration</w:t>
            </w:r>
            <w:proofErr w:type="spellEnd"/>
            <w:r w:rsidRPr="0060544E">
              <w:t xml:space="preserve"> </w:t>
            </w:r>
          </w:p>
          <w:p w:rsidR="00D83ADE" w:rsidRPr="0060544E" w:rsidRDefault="00D83ADE" w:rsidP="00D83ADE">
            <w:pPr>
              <w:pStyle w:val="ChartBodyLeft"/>
            </w:pPr>
          </w:p>
          <w:p w:rsidR="00D83ADE" w:rsidRPr="0060544E" w:rsidRDefault="00D83ADE" w:rsidP="00D83ADE">
            <w:pPr>
              <w:pStyle w:val="ChartBodyLeft"/>
            </w:pPr>
          </w:p>
          <w:p w:rsidR="00D83ADE" w:rsidRPr="0060544E" w:rsidRDefault="00D83ADE" w:rsidP="00D83ADE">
            <w:pPr>
              <w:pStyle w:val="ChartBodyLeft"/>
            </w:pPr>
          </w:p>
          <w:p w:rsidR="00D83ADE" w:rsidRPr="0060544E" w:rsidRDefault="00D83ADE" w:rsidP="00D83ADE">
            <w:pPr>
              <w:pStyle w:val="ChartBodyLeft"/>
            </w:pPr>
          </w:p>
        </w:tc>
      </w:tr>
    </w:tbl>
    <w:p w:rsidR="00D83ADE" w:rsidRPr="00D83ADE" w:rsidRDefault="00D83ADE" w:rsidP="00D83ADE">
      <w:pPr>
        <w:rPr>
          <w:lang w:val="fr-CA"/>
        </w:rPr>
      </w:pPr>
    </w:p>
    <w:p w:rsidR="00D83ADE" w:rsidRDefault="00D83ADE" w:rsidP="00D83ADE">
      <w:pPr>
        <w:rPr>
          <w:lang w:val="fr-CA"/>
        </w:rPr>
      </w:pPr>
      <w:r>
        <w:rPr>
          <w:lang w:val="fr-CA"/>
        </w:rPr>
        <w:t xml:space="preserve">Commentaires : </w:t>
      </w:r>
    </w:p>
    <w:p w:rsidR="00D83ADE" w:rsidRDefault="00D83ADE" w:rsidP="00D83ADE">
      <w:pPr>
        <w:rPr>
          <w:lang w:val="fr-CA"/>
        </w:rPr>
      </w:pPr>
    </w:p>
    <w:p w:rsidR="00D83ADE" w:rsidRDefault="00D83ADE" w:rsidP="00D83ADE">
      <w:pPr>
        <w:rPr>
          <w:lang w:val="fr-CA"/>
        </w:rPr>
      </w:pPr>
    </w:p>
    <w:p w:rsidR="00D83ADE" w:rsidRDefault="00D83ADE" w:rsidP="00D83ADE">
      <w:pPr>
        <w:rPr>
          <w:lang w:val="fr-CA"/>
        </w:rPr>
      </w:pPr>
    </w:p>
    <w:p w:rsidR="00D83ADE" w:rsidRDefault="00D83ADE" w:rsidP="00D83ADE">
      <w:pPr>
        <w:rPr>
          <w:lang w:val="fr-CA"/>
        </w:rPr>
      </w:pPr>
    </w:p>
    <w:p w:rsidR="00D83ADE" w:rsidRDefault="00D83ADE" w:rsidP="00D83ADE">
      <w:pPr>
        <w:rPr>
          <w:lang w:val="fr-CA"/>
        </w:rPr>
      </w:pPr>
    </w:p>
    <w:p w:rsidR="00D83ADE" w:rsidRDefault="00D83ADE" w:rsidP="00D83ADE">
      <w:pPr>
        <w:rPr>
          <w:lang w:val="fr-CA"/>
        </w:rPr>
      </w:pPr>
    </w:p>
    <w:p w:rsidR="00D83ADE" w:rsidRDefault="00D83ADE" w:rsidP="00D83ADE">
      <w:pPr>
        <w:rPr>
          <w:lang w:val="fr-CA"/>
        </w:rPr>
      </w:pPr>
    </w:p>
    <w:p w:rsidR="00D83ADE" w:rsidRDefault="00D83ADE" w:rsidP="00D83ADE">
      <w:pPr>
        <w:rPr>
          <w:lang w:val="fr-CA"/>
        </w:rPr>
      </w:pPr>
      <w:bookmarkStart w:id="0" w:name="_GoBack"/>
      <w:bookmarkEnd w:id="0"/>
    </w:p>
    <w:p w:rsidR="00D83ADE" w:rsidRPr="00D83ADE" w:rsidRDefault="00D83ADE" w:rsidP="00D83ADE">
      <w:pPr>
        <w:rPr>
          <w:lang w:val="fr-CA"/>
        </w:rPr>
      </w:pPr>
    </w:p>
    <w:sectPr w:rsidR="00D83ADE" w:rsidRPr="00D83ADE"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D83ADE" w:rsidRPr="00D83ADE" w:rsidRDefault="00D83ADE" w:rsidP="00D83ADE">
      <w:pPr>
        <w:pStyle w:val="Source"/>
        <w:rPr>
          <w:i/>
          <w:lang w:val="fr-CA"/>
        </w:rPr>
      </w:pPr>
      <w:r w:rsidRPr="0030082E">
        <w:rPr>
          <w:rStyle w:val="EndnoteReference"/>
          <w:sz w:val="18"/>
          <w:szCs w:val="18"/>
        </w:rPr>
        <w:endnoteRef/>
      </w:r>
      <w:r w:rsidRPr="00D83ADE">
        <w:rPr>
          <w:lang w:val="fr-CA"/>
        </w:rPr>
        <w:t xml:space="preserve"> Adaptation : Glover Takahashi S, Martin D, Richardson D. Chapitre 5. Trousse pour l’enseignement et l’évaluation du rôle CanMEDS de collaborateur. Ottawa : Collège royal des médecins et chirurgiens du Canada, 2012. Reproduit avec autorisation.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966096" w:rsidP="00966096">
    <w:pPr>
      <w:pStyle w:val="BasicParagraph"/>
      <w:jc w:val="center"/>
      <w:rPr>
        <w:color w:val="7F7F7F"/>
      </w:rPr>
    </w:pPr>
    <w:proofErr w:type="spellStart"/>
    <w:r w:rsidRPr="00966096">
      <w:rPr>
        <w:rFonts w:ascii="Open Sans" w:hAnsi="Open Sans" w:cs="Open Sans"/>
        <w:color w:val="7F7F7F"/>
        <w:sz w:val="14"/>
        <w:szCs w:val="14"/>
        <w:lang w:val="en-GB"/>
      </w:rPr>
      <w:t>Outils</w:t>
    </w:r>
    <w:proofErr w:type="spellEnd"/>
    <w:r w:rsidRPr="00966096">
      <w:rPr>
        <w:rFonts w:ascii="Open Sans" w:hAnsi="Open Sans" w:cs="Open Sans"/>
        <w:color w:val="7F7F7F"/>
        <w:sz w:val="14"/>
        <w:szCs w:val="14"/>
        <w:lang w:val="en-GB"/>
      </w:rPr>
      <w:t xml:space="preserve"> </w:t>
    </w:r>
    <w:proofErr w:type="spellStart"/>
    <w:r w:rsidRPr="00966096">
      <w:rPr>
        <w:rFonts w:ascii="Open Sans" w:hAnsi="Open Sans" w:cs="Open Sans"/>
        <w:color w:val="7F7F7F"/>
        <w:sz w:val="14"/>
        <w:szCs w:val="14"/>
        <w:lang w:val="en-GB"/>
      </w:rPr>
      <w:t>d’</w:t>
    </w:r>
    <w:r w:rsidR="00D83ADE">
      <w:rPr>
        <w:rFonts w:ascii="Open Sans" w:hAnsi="Open Sans" w:cs="Open Sans"/>
        <w:color w:val="7F7F7F"/>
        <w:sz w:val="14"/>
        <w:szCs w:val="14"/>
        <w:lang w:val="en-GB"/>
      </w:rPr>
      <w:t>évaluation</w:t>
    </w:r>
    <w:proofErr w:type="spellEnd"/>
    <w:r w:rsidRPr="00966096">
      <w:rPr>
        <w:rFonts w:ascii="Open Sans" w:hAnsi="Open Sans" w:cs="Open Sans"/>
        <w:color w:val="7F7F7F"/>
        <w:sz w:val="14"/>
        <w:szCs w:val="14"/>
        <w:lang w:val="en-GB"/>
      </w:rPr>
      <w:t xml:space="preserve"> 3 – </w:t>
    </w:r>
    <w:r w:rsidR="00D83ADE">
      <w:rPr>
        <w:rFonts w:ascii="Open Sans" w:hAnsi="Open Sans" w:cs="Open Sans"/>
        <w:color w:val="003A5B" w:themeColor="text2"/>
        <w:sz w:val="14"/>
        <w:szCs w:val="14"/>
        <w:lang w:val="en-GB"/>
      </w:rPr>
      <w:t>FORMULAIRE DE RENCONTRE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66D3025"/>
    <w:multiLevelType w:val="hybridMultilevel"/>
    <w:tmpl w:val="0BB44592"/>
    <w:lvl w:ilvl="0" w:tplc="800CD1D2">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D83ADE"/>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E43F5A"/>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 w:type="character" w:styleId="EndnoteReference">
    <w:name w:val="endnote reference"/>
    <w:basedOn w:val="DefaultParagraphFont"/>
    <w:uiPriority w:val="99"/>
    <w:unhideWhenUsed/>
    <w:rsid w:val="00D83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4CC8-8561-4E98-AE97-134146438644}">
  <ds:schemaRefs>
    <ds:schemaRef ds:uri="http://schemas.microsoft.com/office/2006/metadata/properties"/>
    <ds:schemaRef ds:uri="http://www.w3.org/XML/1998/namespace"/>
    <ds:schemaRef ds:uri="f3c17827-2a44-4186-817e-0d9f5805cdb5"/>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7610F642-4157-41A0-AA10-7E1EA72E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2021-11-22T20:33:00Z</dcterms:created>
  <dcterms:modified xsi:type="dcterms:W3CDTF">2021-11-22T20:33:00Z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