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F74B94" w:rsidRDefault="00F74B94" w:rsidP="00B529F3">
      <w:pPr>
        <w:pStyle w:val="Heading1"/>
        <w:rPr>
          <w:lang w:val="fr-CA"/>
        </w:rPr>
      </w:pPr>
      <w:r w:rsidRPr="00F74B94">
        <w:rPr>
          <w:lang w:val="fr-CA"/>
        </w:rPr>
        <w:t xml:space="preserve">Outils d’évaluation </w:t>
      </w:r>
      <w:r w:rsidR="00F576AD" w:rsidRPr="00F74B94">
        <w:rPr>
          <w:lang w:val="fr-CA"/>
        </w:rPr>
        <w:t>2 –</w:t>
      </w:r>
      <w:r w:rsidRPr="00F74B94">
        <w:rPr>
          <w:lang w:val="fr-CA"/>
        </w:rPr>
        <w:t xml:space="preserve">Rétroaction </w:t>
      </w:r>
      <w:proofErr w:type="spellStart"/>
      <w:r w:rsidRPr="00F74B94">
        <w:rPr>
          <w:lang w:val="fr-CA"/>
        </w:rPr>
        <w:t>multisource</w:t>
      </w:r>
      <w:proofErr w:type="spellEnd"/>
    </w:p>
    <w:p w:rsidR="002B03F8" w:rsidRPr="00F74B94" w:rsidRDefault="00F576AD" w:rsidP="00B529F3">
      <w:pPr>
        <w:pStyle w:val="Subtitle"/>
        <w:rPr>
          <w:lang w:val="en-US"/>
        </w:rPr>
      </w:pPr>
      <w:r w:rsidRPr="00F74B94">
        <w:rPr>
          <w:lang w:val="en-US"/>
        </w:rPr>
        <w:t xml:space="preserve">CanMEDS </w:t>
      </w:r>
      <w:proofErr w:type="spellStart"/>
      <w:r w:rsidR="00F74B94" w:rsidRPr="00F74B94">
        <w:rPr>
          <w:lang w:val="en-US"/>
        </w:rPr>
        <w:t>Er</w:t>
      </w:r>
      <w:r w:rsidR="00F74B94">
        <w:rPr>
          <w:lang w:val="en-US"/>
        </w:rPr>
        <w:t>udit</w:t>
      </w:r>
      <w:proofErr w:type="spellEnd"/>
      <w:r w:rsidR="00F74B94">
        <w:rPr>
          <w:lang w:val="en-US"/>
        </w:rPr>
        <w:t xml:space="preserve"> </w:t>
      </w:r>
    </w:p>
    <w:p w:rsidR="00F576AD" w:rsidRPr="00F74B94" w:rsidRDefault="00F74B94" w:rsidP="00F576AD">
      <w:pPr>
        <w:pStyle w:val="Heading2"/>
        <w:rPr>
          <w:lang w:val="fr-CA"/>
        </w:rPr>
      </w:pPr>
      <w:r w:rsidRPr="00F74B94">
        <w:rPr>
          <w:lang w:val="fr-CA"/>
        </w:rPr>
        <w:t>Offrir et recevoir de la rétroaction</w:t>
      </w:r>
    </w:p>
    <w:p w:rsidR="00F576AD" w:rsidRPr="00912C82" w:rsidRDefault="00C01A0E" w:rsidP="00F576AD">
      <w:pPr>
        <w:rPr>
          <w:rStyle w:val="SubtleReference"/>
          <w:iCs/>
          <w:sz w:val="22"/>
          <w:lang w:val="fr-CA"/>
        </w:rPr>
      </w:pPr>
      <w:r w:rsidRPr="00912C82">
        <w:rPr>
          <w:iCs/>
          <w:smallCaps/>
          <w:color w:val="5A5A5A" w:themeColor="text1" w:themeTint="A5"/>
          <w:sz w:val="22"/>
          <w:lang w:val="fr-CA"/>
        </w:rPr>
        <w:t xml:space="preserve">Le contenu ci-dessous, rédigé par S. Glover </w:t>
      </w:r>
      <w:proofErr w:type="gramStart"/>
      <w:r w:rsidRPr="00912C82">
        <w:rPr>
          <w:iCs/>
          <w:smallCaps/>
          <w:color w:val="5A5A5A" w:themeColor="text1" w:themeTint="A5"/>
          <w:sz w:val="22"/>
          <w:lang w:val="fr-CA"/>
        </w:rPr>
        <w:t>Takahashi  sous</w:t>
      </w:r>
      <w:proofErr w:type="gramEnd"/>
      <w:r w:rsidRPr="00912C82">
        <w:rPr>
          <w:iCs/>
          <w:smallCaps/>
          <w:color w:val="5A5A5A" w:themeColor="text1" w:themeTint="A5"/>
          <w:sz w:val="22"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 Ce dernier peut révoquer cette autorisation à tout moment, par écrit.  </w:t>
      </w:r>
    </w:p>
    <w:p w:rsidR="00F576AD" w:rsidRPr="00912C82" w:rsidRDefault="00912C82" w:rsidP="00F576AD">
      <w:pPr>
        <w:rPr>
          <w:rStyle w:val="SubtleReference"/>
          <w:b/>
          <w:iCs/>
          <w:sz w:val="22"/>
          <w:lang w:val="fr-CA"/>
        </w:rPr>
      </w:pPr>
      <w:r w:rsidRPr="00912C82">
        <w:rPr>
          <w:b/>
          <w:bCs/>
          <w:iCs/>
          <w:smallCaps/>
          <w:color w:val="5A5A5A" w:themeColor="text1" w:themeTint="A5"/>
          <w:sz w:val="22"/>
          <w:lang w:val="fr-CA"/>
        </w:rPr>
        <w:t>REMARQUE : Le contenu ci-dessous peut avoir été modifié et ne plus représenter l’opinion ou le point de vue du Collège royal.</w:t>
      </w:r>
    </w:p>
    <w:p w:rsidR="00F576AD" w:rsidRPr="00912C82" w:rsidRDefault="00912C82" w:rsidP="009C1879">
      <w:pPr>
        <w:pStyle w:val="Heading3"/>
        <w:rPr>
          <w:color w:val="003A5B" w:themeColor="text2"/>
          <w:lang w:val="fr-CA"/>
        </w:rPr>
      </w:pPr>
      <w:r w:rsidRPr="00912C82">
        <w:rPr>
          <w:color w:val="003A5B" w:themeColor="text2"/>
          <w:lang w:val="fr-CA"/>
        </w:rPr>
        <w:t xml:space="preserve">Directives à l’intention de l’évaluateur : </w:t>
      </w:r>
    </w:p>
    <w:p w:rsidR="00912C82" w:rsidRPr="00912C82" w:rsidRDefault="00912C82" w:rsidP="00912C82">
      <w:pPr>
        <w:pStyle w:val="ListParagraph"/>
        <w:rPr>
          <w:lang w:val="fr-CA"/>
        </w:rPr>
      </w:pPr>
      <w:r w:rsidRPr="00912C82">
        <w:rPr>
          <w:lang w:val="fr-CA"/>
        </w:rPr>
        <w:t xml:space="preserve">En tant qu’érudits, les médecins font preuve d’un engagement constant envers l’excellence dans la pratique médicale par un processus de formation continue, en enseignant à des tiers, en évaluant les données probantes et en contribuant à l’avancement de la science. Une des compétences associées au rôle d’érudit est la capacité de fournir de la rétroaction afin de rehausser tant l’apprentissage que la performance. </w:t>
      </w:r>
    </w:p>
    <w:p w:rsidR="00912C82" w:rsidRPr="00912C82" w:rsidRDefault="00912C82" w:rsidP="00912C82">
      <w:pPr>
        <w:pStyle w:val="ListParagraph"/>
        <w:rPr>
          <w:lang w:val="fr-CA"/>
        </w:rPr>
      </w:pPr>
      <w:r w:rsidRPr="00912C82">
        <w:rPr>
          <w:lang w:val="fr-CA"/>
        </w:rPr>
        <w:t xml:space="preserve">Les compétences de l’érudit peuvent s’acquérir par la pratique et la rétroaction. Au moyen du formulaire ci-dessous, aidez l’apprenant à mieux comprendre son niveau de compétences à offrir et à recevoir de la rétroaction en lui offrant de la rétroaction pertinente et confidentielle. </w:t>
      </w:r>
    </w:p>
    <w:p w:rsidR="00912C82" w:rsidRPr="00912C82" w:rsidRDefault="00912C82" w:rsidP="00912C82">
      <w:pPr>
        <w:pStyle w:val="ListParagraph"/>
        <w:rPr>
          <w:lang w:val="fr-CA"/>
        </w:rPr>
      </w:pPr>
      <w:r w:rsidRPr="00912C82">
        <w:rPr>
          <w:lang w:val="fr-CA"/>
        </w:rPr>
        <w:t xml:space="preserve">Cette information sera présentée à l’apprenant sous forme agrégée, afin de l’aider à améliorer ses compétences d’érudit. </w:t>
      </w:r>
    </w:p>
    <w:p w:rsidR="00912C82" w:rsidRPr="00912C82" w:rsidRDefault="00912C82" w:rsidP="00912C82">
      <w:pPr>
        <w:pStyle w:val="ListParagraph"/>
        <w:rPr>
          <w:lang w:val="fr-CA"/>
        </w:rPr>
      </w:pPr>
      <w:r w:rsidRPr="00912C82">
        <w:rPr>
          <w:lang w:val="fr-CA"/>
        </w:rPr>
        <w:t>Prière de remettre ce formulaire dans une enveloppe scellée, à : ___________</w:t>
      </w:r>
    </w:p>
    <w:p w:rsidR="00F576AD" w:rsidRDefault="00F576AD" w:rsidP="00F576AD">
      <w:pPr>
        <w:rPr>
          <w:i/>
          <w:lang w:val="fr-CA"/>
        </w:rPr>
      </w:pPr>
    </w:p>
    <w:p w:rsidR="00912C82" w:rsidRDefault="00912C82" w:rsidP="00F576AD"/>
    <w:p w:rsidR="00912C82" w:rsidRDefault="00912C82" w:rsidP="00F576AD"/>
    <w:p w:rsidR="00912C82" w:rsidRDefault="00912C82" w:rsidP="00F576AD"/>
    <w:p w:rsidR="00912C82" w:rsidRDefault="00912C82" w:rsidP="00F576AD"/>
    <w:p w:rsidR="00912C82" w:rsidRDefault="00912C82" w:rsidP="00F576AD"/>
    <w:p w:rsidR="00912C82" w:rsidRDefault="00912C82" w:rsidP="00F576AD"/>
    <w:p w:rsidR="00F576AD" w:rsidRPr="00912C82" w:rsidRDefault="00912C82" w:rsidP="00F576AD">
      <w:pPr>
        <w:rPr>
          <w:lang w:val="fr-CA"/>
        </w:rPr>
      </w:pPr>
      <w:r w:rsidRPr="00912C82">
        <w:rPr>
          <w:lang w:val="fr-CA"/>
        </w:rPr>
        <w:t>Nom du résident</w:t>
      </w:r>
      <w:proofErr w:type="gramStart"/>
      <w:r w:rsidRPr="00912C82">
        <w:rPr>
          <w:lang w:val="fr-CA"/>
        </w:rPr>
        <w:t xml:space="preserve"> </w:t>
      </w:r>
      <w:r w:rsidR="00F576AD" w:rsidRPr="00912C82">
        <w:rPr>
          <w:lang w:val="fr-CA"/>
        </w:rPr>
        <w:t>:_</w:t>
      </w:r>
      <w:proofErr w:type="gramEnd"/>
      <w:r w:rsidR="00F576AD" w:rsidRPr="00912C82">
        <w:rPr>
          <w:lang w:val="fr-CA"/>
        </w:rPr>
        <w:t>_______________________________________</w:t>
      </w:r>
    </w:p>
    <w:p w:rsidR="00F576AD" w:rsidRPr="00912C82" w:rsidRDefault="00912C82" w:rsidP="00F576AD">
      <w:pPr>
        <w:rPr>
          <w:lang w:val="fr-CA"/>
        </w:rPr>
      </w:pPr>
      <w:r w:rsidRPr="00912C82">
        <w:rPr>
          <w:lang w:val="fr-CA"/>
        </w:rPr>
        <w:t xml:space="preserve">Année d’études postdoctorales </w:t>
      </w:r>
      <w:r w:rsidR="00F576AD" w:rsidRPr="00912C82">
        <w:rPr>
          <w:lang w:val="fr-CA"/>
        </w:rPr>
        <w:t>: _____________________</w:t>
      </w:r>
    </w:p>
    <w:p w:rsidR="00F576AD" w:rsidRPr="00912C82" w:rsidRDefault="00912C82" w:rsidP="00F576AD">
      <w:pPr>
        <w:rPr>
          <w:lang w:val="fr-CA"/>
        </w:rPr>
      </w:pPr>
      <w:r w:rsidRPr="00912C82">
        <w:rPr>
          <w:lang w:val="fr-CA"/>
        </w:rPr>
        <w:t xml:space="preserve">Indiquez </w:t>
      </w:r>
      <w:r w:rsidRPr="00912C82">
        <w:rPr>
          <w:lang w:val="en-US"/>
        </w:rPr>
        <w:sym w:font="Wingdings" w:char="F0FE"/>
      </w:r>
      <w:r w:rsidRPr="00912C82">
        <w:rPr>
          <w:lang w:val="fr-CA"/>
        </w:rPr>
        <w:t xml:space="preserve"> tous les choix qui s’appliquent. Je suis :</w:t>
      </w:r>
    </w:p>
    <w:p w:rsidR="00F576AD" w:rsidRPr="00912C82" w:rsidRDefault="00912C82" w:rsidP="00F576AD">
      <w:pPr>
        <w:pStyle w:val="ListParagraph"/>
        <w:numPr>
          <w:ilvl w:val="0"/>
          <w:numId w:val="16"/>
        </w:numPr>
        <w:rPr>
          <w:lang w:val="fr-CA"/>
        </w:rPr>
      </w:pPr>
      <w:r w:rsidRPr="00912C82">
        <w:rPr>
          <w:lang w:val="fr-CA"/>
        </w:rPr>
        <w:t>Membre d’une équipe de professionnels de la santé</w:t>
      </w:r>
    </w:p>
    <w:p w:rsidR="00912C82" w:rsidRDefault="00912C82" w:rsidP="00F576AD">
      <w:pPr>
        <w:pStyle w:val="ListParagraph"/>
        <w:numPr>
          <w:ilvl w:val="0"/>
          <w:numId w:val="16"/>
        </w:numPr>
      </w:pPr>
      <w:proofErr w:type="spellStart"/>
      <w:r w:rsidRPr="00912C82">
        <w:t>Résident</w:t>
      </w:r>
      <w:proofErr w:type="spellEnd"/>
    </w:p>
    <w:p w:rsidR="00912C82" w:rsidRPr="00912C82" w:rsidRDefault="00912C82" w:rsidP="00F576AD">
      <w:pPr>
        <w:pStyle w:val="ListParagraph"/>
        <w:numPr>
          <w:ilvl w:val="0"/>
          <w:numId w:val="16"/>
        </w:numPr>
        <w:rPr>
          <w:lang w:val="fr-CA"/>
        </w:rPr>
      </w:pPr>
      <w:r w:rsidRPr="00912C82">
        <w:rPr>
          <w:lang w:val="fr-CA"/>
        </w:rPr>
        <w:t>Étudiant en médecine (ou stagiaire)</w:t>
      </w:r>
    </w:p>
    <w:p w:rsidR="00F576AD" w:rsidRDefault="00912C82" w:rsidP="00F576AD">
      <w:pPr>
        <w:pStyle w:val="ListParagraph"/>
        <w:numPr>
          <w:ilvl w:val="0"/>
          <w:numId w:val="16"/>
        </w:numPr>
      </w:pPr>
      <w:proofErr w:type="spellStart"/>
      <w:r>
        <w:t>Autre</w:t>
      </w:r>
      <w:proofErr w:type="spellEnd"/>
      <w:r w:rsidR="00F576AD">
        <w:t xml:space="preserve"> _____________________</w:t>
      </w:r>
    </w:p>
    <w:p w:rsidR="00F576AD" w:rsidRPr="00912C82" w:rsidRDefault="00912C82" w:rsidP="00F576AD">
      <w:pPr>
        <w:spacing w:before="240"/>
        <w:rPr>
          <w:lang w:val="en-US"/>
        </w:rPr>
      </w:pPr>
      <w:proofErr w:type="spellStart"/>
      <w:r w:rsidRPr="00912C82">
        <w:rPr>
          <w:lang w:val="en-US"/>
        </w:rPr>
        <w:t>Degré</w:t>
      </w:r>
      <w:proofErr w:type="spellEnd"/>
      <w:r w:rsidRPr="00912C82">
        <w:rPr>
          <w:lang w:val="en-US"/>
        </w:rPr>
        <w:t xml:space="preserve"> </w:t>
      </w:r>
      <w:proofErr w:type="spellStart"/>
      <w:proofErr w:type="gramStart"/>
      <w:r w:rsidRPr="00912C82">
        <w:rPr>
          <w:lang w:val="en-US"/>
        </w:rPr>
        <w:t>d’interaction</w:t>
      </w:r>
      <w:proofErr w:type="spellEnd"/>
      <w:r w:rsidRPr="00912C82">
        <w:rPr>
          <w:lang w:val="en-US"/>
        </w:rPr>
        <w:t xml:space="preserve"> :</w:t>
      </w:r>
      <w:proofErr w:type="gramEnd"/>
      <w:r w:rsidRPr="00912C82">
        <w:rPr>
          <w:lang w:val="en-US"/>
        </w:rPr>
        <w:t xml:space="preserve"> </w:t>
      </w:r>
    </w:p>
    <w:p w:rsidR="00912C82" w:rsidRDefault="00912C82" w:rsidP="000A73B0">
      <w:pPr>
        <w:pStyle w:val="ListParagraph"/>
        <w:numPr>
          <w:ilvl w:val="0"/>
          <w:numId w:val="17"/>
        </w:numPr>
      </w:pPr>
      <w:proofErr w:type="spellStart"/>
      <w:r w:rsidRPr="00912C82">
        <w:t>Enseignement</w:t>
      </w:r>
      <w:proofErr w:type="spellEnd"/>
      <w:r w:rsidRPr="00912C82">
        <w:t xml:space="preserve"> </w:t>
      </w:r>
      <w:r>
        <w:t>considerable</w:t>
      </w:r>
    </w:p>
    <w:p w:rsidR="00F576AD" w:rsidRPr="00912C82" w:rsidRDefault="00912C82" w:rsidP="000A73B0">
      <w:pPr>
        <w:pStyle w:val="ListParagraph"/>
        <w:numPr>
          <w:ilvl w:val="0"/>
          <w:numId w:val="17"/>
        </w:numPr>
        <w:rPr>
          <w:lang w:val="fr-CA"/>
        </w:rPr>
      </w:pPr>
      <w:r w:rsidRPr="00912C82">
        <w:rPr>
          <w:lang w:val="fr-CA"/>
        </w:rPr>
        <w:t>Enseignement occasionnel ou une seule fois</w:t>
      </w:r>
    </w:p>
    <w:p w:rsidR="00F576AD" w:rsidRPr="00912C82" w:rsidRDefault="00F576AD" w:rsidP="00F576AD">
      <w:pPr>
        <w:rPr>
          <w:i/>
          <w:lang w:val="fr-CA"/>
        </w:rPr>
      </w:pPr>
    </w:p>
    <w:tbl>
      <w:tblPr>
        <w:tblW w:w="0" w:type="auto"/>
        <w:tblInd w:w="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336"/>
        <w:gridCol w:w="1144"/>
        <w:gridCol w:w="1145"/>
        <w:gridCol w:w="1145"/>
        <w:gridCol w:w="1145"/>
        <w:gridCol w:w="1145"/>
        <w:gridCol w:w="1145"/>
      </w:tblGrid>
      <w:tr w:rsidR="00F576AD" w:rsidRPr="001E15D0" w:rsidTr="00F576AD">
        <w:trPr>
          <w:trHeight w:val="562"/>
          <w:tblHeader/>
        </w:trPr>
        <w:tc>
          <w:tcPr>
            <w:tcW w:w="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6AD" w:rsidRPr="001E15D0" w:rsidRDefault="00F576AD" w:rsidP="00F576AD">
            <w:pPr>
              <w:pStyle w:val="ChartHead"/>
            </w:pPr>
            <w:r w:rsidRPr="001E15D0">
              <w:t>#</w:t>
            </w:r>
          </w:p>
        </w:tc>
        <w:tc>
          <w:tcPr>
            <w:tcW w:w="333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76AD" w:rsidRPr="001E15D0" w:rsidRDefault="00F576AD" w:rsidP="00F576AD">
            <w:pPr>
              <w:pStyle w:val="ChartHead"/>
            </w:pPr>
            <w:r w:rsidRPr="001E15D0">
              <w:t xml:space="preserve"> </w:t>
            </w:r>
            <w:r w:rsidR="00912C82" w:rsidRPr="00912C82">
              <w:t xml:space="preserve">Le </w:t>
            </w:r>
            <w:proofErr w:type="spellStart"/>
            <w:r w:rsidR="00912C82" w:rsidRPr="00912C82">
              <w:t>résident</w:t>
            </w:r>
            <w:proofErr w:type="spellEnd"/>
            <w:r w:rsidR="00912C82" w:rsidRPr="00912C82">
              <w:t>…</w:t>
            </w:r>
          </w:p>
        </w:tc>
        <w:tc>
          <w:tcPr>
            <w:tcW w:w="114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  <w:r w:rsidRPr="001E15D0">
              <w:t>1</w:t>
            </w:r>
          </w:p>
          <w:p w:rsidR="00912C82" w:rsidRPr="00912C82" w:rsidRDefault="00912C82" w:rsidP="00912C82">
            <w:pPr>
              <w:pStyle w:val="ChartHead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12C82">
              <w:rPr>
                <w:sz w:val="14"/>
                <w:szCs w:val="14"/>
                <w:lang w:val="en-US"/>
              </w:rPr>
              <w:t>Très</w:t>
            </w:r>
            <w:proofErr w:type="spellEnd"/>
          </w:p>
          <w:p w:rsidR="00F576AD" w:rsidRPr="001E15D0" w:rsidRDefault="00912C82" w:rsidP="00912C82">
            <w:pPr>
              <w:pStyle w:val="ChartHead"/>
              <w:jc w:val="center"/>
            </w:pPr>
            <w:proofErr w:type="spellStart"/>
            <w:r w:rsidRPr="00912C82">
              <w:rPr>
                <w:sz w:val="14"/>
                <w:szCs w:val="14"/>
                <w:lang w:val="en-US"/>
              </w:rPr>
              <w:t>faible</w:t>
            </w:r>
            <w:proofErr w:type="spellEnd"/>
          </w:p>
        </w:tc>
        <w:tc>
          <w:tcPr>
            <w:tcW w:w="11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  <w:r w:rsidRPr="001E15D0">
              <w:t>2</w:t>
            </w:r>
          </w:p>
          <w:p w:rsidR="00912C82" w:rsidRPr="00912C82" w:rsidRDefault="00912C82" w:rsidP="00912C82">
            <w:pPr>
              <w:pStyle w:val="ChartHead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12C82">
              <w:rPr>
                <w:sz w:val="14"/>
                <w:szCs w:val="14"/>
                <w:lang w:val="en-US"/>
              </w:rPr>
              <w:t>Besoin</w:t>
            </w:r>
            <w:proofErr w:type="spellEnd"/>
          </w:p>
          <w:p w:rsidR="00F576AD" w:rsidRPr="001E15D0" w:rsidRDefault="00912C82" w:rsidP="00912C82">
            <w:pPr>
              <w:pStyle w:val="ChartHead"/>
              <w:jc w:val="center"/>
            </w:pPr>
            <w:proofErr w:type="spellStart"/>
            <w:r w:rsidRPr="00912C82">
              <w:rPr>
                <w:sz w:val="14"/>
                <w:szCs w:val="14"/>
                <w:lang w:val="en-US"/>
              </w:rPr>
              <w:t>d’amélioration</w:t>
            </w:r>
            <w:proofErr w:type="spellEnd"/>
          </w:p>
        </w:tc>
        <w:tc>
          <w:tcPr>
            <w:tcW w:w="11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  <w:r w:rsidRPr="001E15D0">
              <w:t>3</w:t>
            </w:r>
          </w:p>
          <w:p w:rsidR="00F576AD" w:rsidRPr="001E15D0" w:rsidRDefault="00912C82" w:rsidP="00F576AD">
            <w:pPr>
              <w:pStyle w:val="ChartHead"/>
              <w:jc w:val="center"/>
              <w:rPr>
                <w:sz w:val="14"/>
                <w:szCs w:val="14"/>
              </w:rPr>
            </w:pPr>
            <w:proofErr w:type="spellStart"/>
            <w:r w:rsidRPr="00912C82">
              <w:rPr>
                <w:sz w:val="14"/>
                <w:szCs w:val="14"/>
              </w:rPr>
              <w:t>Compétent</w:t>
            </w:r>
            <w:proofErr w:type="spellEnd"/>
          </w:p>
        </w:tc>
        <w:tc>
          <w:tcPr>
            <w:tcW w:w="11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  <w:r w:rsidRPr="001E15D0">
              <w:t>4</w:t>
            </w:r>
          </w:p>
          <w:p w:rsidR="00F576AD" w:rsidRPr="001E15D0" w:rsidRDefault="00912C82" w:rsidP="00F576AD">
            <w:pPr>
              <w:pStyle w:val="ChartHead"/>
              <w:jc w:val="center"/>
              <w:rPr>
                <w:sz w:val="14"/>
                <w:szCs w:val="14"/>
              </w:rPr>
            </w:pPr>
            <w:r w:rsidRPr="00912C82">
              <w:rPr>
                <w:sz w:val="14"/>
                <w:szCs w:val="14"/>
              </w:rPr>
              <w:t>Habile</w:t>
            </w:r>
          </w:p>
        </w:tc>
        <w:tc>
          <w:tcPr>
            <w:tcW w:w="11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  <w:r w:rsidRPr="001E15D0">
              <w:t>5</w:t>
            </w:r>
          </w:p>
          <w:p w:rsidR="00F576AD" w:rsidRPr="001E15D0" w:rsidRDefault="00912C82" w:rsidP="00F576AD">
            <w:pPr>
              <w:pStyle w:val="ChartHead"/>
              <w:jc w:val="center"/>
              <w:rPr>
                <w:sz w:val="14"/>
                <w:szCs w:val="14"/>
              </w:rPr>
            </w:pPr>
            <w:proofErr w:type="spellStart"/>
            <w:r w:rsidRPr="00912C82">
              <w:rPr>
                <w:sz w:val="14"/>
                <w:szCs w:val="14"/>
              </w:rPr>
              <w:t>Exemplaire</w:t>
            </w:r>
            <w:proofErr w:type="spellEnd"/>
          </w:p>
        </w:tc>
        <w:tc>
          <w:tcPr>
            <w:tcW w:w="11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576AD" w:rsidRPr="001E15D0" w:rsidRDefault="00F576AD" w:rsidP="00F576AD">
            <w:pPr>
              <w:pStyle w:val="ChartHead"/>
              <w:jc w:val="center"/>
            </w:pPr>
          </w:p>
          <w:p w:rsidR="00912C82" w:rsidRPr="00912C82" w:rsidRDefault="00912C82" w:rsidP="00912C82">
            <w:pPr>
              <w:pStyle w:val="ChartHead"/>
              <w:jc w:val="center"/>
              <w:rPr>
                <w:sz w:val="14"/>
                <w:szCs w:val="14"/>
                <w:lang w:val="en-US"/>
              </w:rPr>
            </w:pPr>
            <w:r w:rsidRPr="00912C82">
              <w:rPr>
                <w:sz w:val="14"/>
                <w:szCs w:val="14"/>
                <w:lang w:val="en-US"/>
              </w:rPr>
              <w:t xml:space="preserve">Ne </w:t>
            </w:r>
            <w:proofErr w:type="spellStart"/>
            <w:r w:rsidRPr="00912C82">
              <w:rPr>
                <w:sz w:val="14"/>
                <w:szCs w:val="14"/>
                <w:lang w:val="en-US"/>
              </w:rPr>
              <w:t>peux</w:t>
            </w:r>
            <w:proofErr w:type="spellEnd"/>
          </w:p>
          <w:p w:rsidR="00F576AD" w:rsidRPr="001E15D0" w:rsidRDefault="00912C82" w:rsidP="00912C82">
            <w:pPr>
              <w:pStyle w:val="ChartHead"/>
              <w:jc w:val="center"/>
            </w:pPr>
            <w:r w:rsidRPr="00912C82">
              <w:rPr>
                <w:sz w:val="14"/>
                <w:szCs w:val="14"/>
                <w:lang w:val="en-US"/>
              </w:rPr>
              <w:t>commenter</w:t>
            </w: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1.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Default="00912C82" w:rsidP="00912C82">
            <w:pPr>
              <w:pStyle w:val="ChartBodyLeft"/>
              <w:rPr>
                <w:i/>
                <w:lang w:val="fr-CA"/>
              </w:rPr>
            </w:pPr>
            <w:r w:rsidRPr="00912C82">
              <w:rPr>
                <w:lang w:val="fr-CA"/>
              </w:rPr>
              <w:t>Demande de la rétroaction et accepte</w:t>
            </w:r>
            <w:r>
              <w:rPr>
                <w:lang w:val="fr-CA"/>
              </w:rPr>
              <w:t xml:space="preserve"> </w:t>
            </w:r>
            <w:r w:rsidRPr="00912C82">
              <w:rPr>
                <w:lang w:val="fr-CA"/>
              </w:rPr>
              <w:t>volontiers la mienne</w:t>
            </w:r>
            <w:r w:rsidRPr="00912C82">
              <w:rPr>
                <w:i/>
                <w:lang w:val="fr-CA"/>
              </w:rPr>
              <w:t xml:space="preserve"> </w:t>
            </w:r>
          </w:p>
          <w:p w:rsidR="00912C82" w:rsidRPr="00912C82" w:rsidRDefault="00912C82" w:rsidP="00912C82">
            <w:pPr>
              <w:pStyle w:val="ChartBodyLeft"/>
              <w:rPr>
                <w:lang w:val="fr-CA"/>
              </w:rPr>
            </w:pP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2.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912C82" w:rsidP="00F576AD">
            <w:pPr>
              <w:pStyle w:val="ChartBodyLeft"/>
              <w:rPr>
                <w:i/>
                <w:lang w:val="fr-CA"/>
              </w:rPr>
            </w:pPr>
            <w:r w:rsidRPr="00912C82">
              <w:rPr>
                <w:lang w:val="fr-CA"/>
              </w:rPr>
              <w:t xml:space="preserve">Demande de la rétroaction SPÉCIFIQUE </w:t>
            </w:r>
          </w:p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3.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912C82" w:rsidP="00F576AD">
            <w:pPr>
              <w:pStyle w:val="ChartBodyLeft"/>
              <w:rPr>
                <w:i/>
                <w:lang w:val="fr-CA"/>
              </w:rPr>
            </w:pPr>
            <w:r w:rsidRPr="00912C82">
              <w:rPr>
                <w:lang w:val="fr-CA"/>
              </w:rPr>
              <w:t>Est ouvert à la rétroaction (n’interrompt pas, n’argumente pas, ne résiste pas, n’est pas sur la défensive)</w:t>
            </w: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4.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Default="00912C82" w:rsidP="00F576AD">
            <w:pPr>
              <w:pStyle w:val="ChartBodyLeft"/>
              <w:rPr>
                <w:lang w:val="fr-CA"/>
              </w:rPr>
            </w:pPr>
            <w:r w:rsidRPr="00912C82">
              <w:rPr>
                <w:lang w:val="fr-CA"/>
              </w:rPr>
              <w:t>Voit à cultiver des relations lorsqu’il offre de la rétroaction</w:t>
            </w:r>
          </w:p>
          <w:p w:rsidR="00912C82" w:rsidRPr="00912C82" w:rsidRDefault="00912C82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5.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912C82" w:rsidP="00F576AD">
            <w:pPr>
              <w:pStyle w:val="ChartBodyLeft"/>
              <w:rPr>
                <w:i/>
                <w:lang w:val="fr-CA"/>
              </w:rPr>
            </w:pPr>
            <w:r w:rsidRPr="00912C82">
              <w:rPr>
                <w:lang w:val="fr-CA"/>
              </w:rPr>
              <w:t>Surveille les réactions des apprenants en explorant leur opinion de la rétroaction reçue</w:t>
            </w: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6.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2C82" w:rsidRPr="00912C82" w:rsidRDefault="00912C82" w:rsidP="00912C82">
            <w:pPr>
              <w:pStyle w:val="ChartBodyLeft"/>
              <w:rPr>
                <w:lang w:val="fr-CA"/>
              </w:rPr>
            </w:pPr>
            <w:r w:rsidRPr="00912C82">
              <w:rPr>
                <w:lang w:val="fr-CA"/>
              </w:rPr>
              <w:t>Explore le contenu de la rétroaction et de la performance (ce qui a bien fonctionné ou non, s’il y a correspondance du progrès,</w:t>
            </w:r>
          </w:p>
          <w:p w:rsidR="00F576AD" w:rsidRPr="00912C82" w:rsidRDefault="00912C82" w:rsidP="00912C82">
            <w:pPr>
              <w:pStyle w:val="ChartBodyLeft"/>
              <w:rPr>
                <w:i/>
                <w:lang w:val="fr-CA"/>
              </w:rPr>
            </w:pPr>
            <w:proofErr w:type="gramStart"/>
            <w:r w:rsidRPr="00912C82">
              <w:rPr>
                <w:lang w:val="fr-CA"/>
              </w:rPr>
              <w:t>des</w:t>
            </w:r>
            <w:proofErr w:type="gramEnd"/>
            <w:r w:rsidRPr="00912C82">
              <w:rPr>
                <w:lang w:val="fr-CA"/>
              </w:rPr>
              <w:t xml:space="preserve"> besoins et des objectifs personnels et du programme)</w:t>
            </w: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  <w:tr w:rsidR="00F576AD" w:rsidRPr="00912C82" w:rsidTr="00F576AD">
        <w:trPr>
          <w:trHeight w:val="60"/>
        </w:trPr>
        <w:tc>
          <w:tcPr>
            <w:tcW w:w="5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lastRenderedPageBreak/>
              <w:t>7.</w:t>
            </w:r>
          </w:p>
        </w:tc>
        <w:tc>
          <w:tcPr>
            <w:tcW w:w="333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2C82" w:rsidRPr="00912C82" w:rsidRDefault="00912C82" w:rsidP="00912C82">
            <w:pPr>
              <w:pStyle w:val="ChartBodyLeft"/>
              <w:rPr>
                <w:lang w:val="fr-CA"/>
              </w:rPr>
            </w:pPr>
            <w:r w:rsidRPr="00912C82">
              <w:rPr>
                <w:lang w:val="fr-CA"/>
              </w:rPr>
              <w:t>Encadre les apprenants pour les aider à améliorer leur performance (trucs</w:t>
            </w:r>
          </w:p>
          <w:p w:rsidR="00F576AD" w:rsidRPr="00912C82" w:rsidRDefault="00912C82" w:rsidP="00912C82">
            <w:pPr>
              <w:pStyle w:val="ChartBodyLeft"/>
              <w:rPr>
                <w:i/>
                <w:lang w:val="fr-CA"/>
              </w:rPr>
            </w:pPr>
            <w:proofErr w:type="gramStart"/>
            <w:r w:rsidRPr="00912C82">
              <w:rPr>
                <w:lang w:val="fr-CA"/>
              </w:rPr>
              <w:t>et</w:t>
            </w:r>
            <w:proofErr w:type="gramEnd"/>
            <w:r w:rsidRPr="00912C82">
              <w:rPr>
                <w:lang w:val="fr-CA"/>
              </w:rPr>
              <w:t xml:space="preserve"> astuces d’amélioration, mesures prioritaires, plan)</w:t>
            </w:r>
          </w:p>
        </w:tc>
        <w:tc>
          <w:tcPr>
            <w:tcW w:w="11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912C82" w:rsidRDefault="00F576AD" w:rsidP="00F576AD">
            <w:pPr>
              <w:pStyle w:val="ChartBodyLeft"/>
              <w:rPr>
                <w:i/>
                <w:lang w:val="fr-CA"/>
              </w:rPr>
            </w:pPr>
          </w:p>
        </w:tc>
      </w:tr>
    </w:tbl>
    <w:p w:rsidR="00F576AD" w:rsidRPr="00912C82" w:rsidRDefault="00F576AD" w:rsidP="00F576AD">
      <w:pPr>
        <w:pStyle w:val="ChartBodyLeft"/>
        <w:rPr>
          <w:lang w:val="fr-CA"/>
        </w:rPr>
      </w:pPr>
    </w:p>
    <w:p w:rsidR="00F576AD" w:rsidRPr="00912C82" w:rsidRDefault="00F576AD" w:rsidP="00F576AD">
      <w:pPr>
        <w:pStyle w:val="ChartBodyLeft"/>
        <w:rPr>
          <w:lang w:val="fr-CA"/>
        </w:rPr>
      </w:pPr>
    </w:p>
    <w:tbl>
      <w:tblPr>
        <w:tblW w:w="0" w:type="auto"/>
        <w:tblInd w:w="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3"/>
        <w:gridCol w:w="2082"/>
        <w:gridCol w:w="2082"/>
        <w:gridCol w:w="2083"/>
      </w:tblGrid>
      <w:tr w:rsidR="00F576AD" w:rsidRPr="001E15D0" w:rsidTr="00F576AD">
        <w:trPr>
          <w:trHeight w:val="60"/>
        </w:trPr>
        <w:tc>
          <w:tcPr>
            <w:tcW w:w="455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576AD" w:rsidRPr="00912C82" w:rsidRDefault="00912C82" w:rsidP="00F576AD">
            <w:pPr>
              <w:pStyle w:val="ChartBodyLeft"/>
              <w:rPr>
                <w:i/>
                <w:lang w:val="fr-CA"/>
              </w:rPr>
            </w:pPr>
            <w:r w:rsidRPr="00912C82">
              <w:rPr>
                <w:lang w:val="fr-CA"/>
              </w:rPr>
              <w:t>Évaluation globale des compétences à offrir et à demander de la rétroaction</w:t>
            </w:r>
          </w:p>
        </w:tc>
        <w:tc>
          <w:tcPr>
            <w:tcW w:w="208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Centered"/>
            </w:pPr>
            <w:r w:rsidRPr="001E15D0">
              <w:t>1</w:t>
            </w:r>
          </w:p>
          <w:p w:rsidR="00F576AD" w:rsidRPr="001E15D0" w:rsidRDefault="00912C82" w:rsidP="00F576AD">
            <w:pPr>
              <w:pStyle w:val="ChartBodyCentered"/>
            </w:pPr>
            <w:proofErr w:type="spellStart"/>
            <w:r w:rsidRPr="00912C82">
              <w:t>Insatisfaisant</w:t>
            </w:r>
            <w:proofErr w:type="spellEnd"/>
          </w:p>
        </w:tc>
        <w:tc>
          <w:tcPr>
            <w:tcW w:w="208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Centered"/>
            </w:pPr>
            <w:r w:rsidRPr="001E15D0">
              <w:t>3</w:t>
            </w:r>
          </w:p>
          <w:p w:rsidR="00F576AD" w:rsidRPr="001E15D0" w:rsidRDefault="00912C82" w:rsidP="00F576AD">
            <w:pPr>
              <w:pStyle w:val="ChartBodyCentered"/>
            </w:pPr>
            <w:proofErr w:type="spellStart"/>
            <w:r w:rsidRPr="00912C82">
              <w:t>Compétent</w:t>
            </w:r>
            <w:proofErr w:type="spellEnd"/>
          </w:p>
        </w:tc>
        <w:tc>
          <w:tcPr>
            <w:tcW w:w="208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F576AD">
            <w:pPr>
              <w:pStyle w:val="ChartBodyCentered"/>
            </w:pPr>
            <w:r w:rsidRPr="001E15D0">
              <w:t>5</w:t>
            </w:r>
          </w:p>
          <w:p w:rsidR="00B37850" w:rsidRPr="00B37850" w:rsidRDefault="00B37850" w:rsidP="00B37850">
            <w:pPr>
              <w:pStyle w:val="ChartBodyCentered"/>
              <w:rPr>
                <w:lang w:val="en-US"/>
              </w:rPr>
            </w:pPr>
            <w:r w:rsidRPr="00B37850">
              <w:rPr>
                <w:lang w:val="en-US"/>
              </w:rPr>
              <w:t>Performance</w:t>
            </w:r>
          </w:p>
          <w:p w:rsidR="00F576AD" w:rsidRPr="001E15D0" w:rsidRDefault="00B37850" w:rsidP="00B37850">
            <w:pPr>
              <w:pStyle w:val="ChartBodyCentered"/>
            </w:pPr>
            <w:proofErr w:type="spellStart"/>
            <w:r w:rsidRPr="00B37850">
              <w:rPr>
                <w:lang w:val="en-US"/>
              </w:rPr>
              <w:t>supérieure</w:t>
            </w:r>
            <w:proofErr w:type="spellEnd"/>
          </w:p>
        </w:tc>
      </w:tr>
      <w:tr w:rsidR="00F576AD" w:rsidRPr="001E15D0" w:rsidTr="00F576AD">
        <w:trPr>
          <w:trHeight w:val="60"/>
        </w:trPr>
        <w:tc>
          <w:tcPr>
            <w:tcW w:w="4553" w:type="dxa"/>
            <w:vMerge/>
          </w:tcPr>
          <w:p w:rsidR="00F576AD" w:rsidRPr="001E15D0" w:rsidRDefault="00F576AD" w:rsidP="006D4088">
            <w:pPr>
              <w:rPr>
                <w:i/>
              </w:rPr>
            </w:pPr>
          </w:p>
        </w:tc>
        <w:tc>
          <w:tcPr>
            <w:tcW w:w="208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6D4088">
            <w:pPr>
              <w:rPr>
                <w:i/>
              </w:rPr>
            </w:pPr>
          </w:p>
        </w:tc>
        <w:tc>
          <w:tcPr>
            <w:tcW w:w="208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6D4088">
            <w:pPr>
              <w:rPr>
                <w:i/>
              </w:rPr>
            </w:pPr>
          </w:p>
        </w:tc>
        <w:tc>
          <w:tcPr>
            <w:tcW w:w="208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AD" w:rsidRPr="001E15D0" w:rsidRDefault="00F576AD" w:rsidP="006D4088">
            <w:pPr>
              <w:rPr>
                <w:i/>
              </w:rPr>
            </w:pPr>
          </w:p>
        </w:tc>
      </w:tr>
    </w:tbl>
    <w:p w:rsidR="00F576AD" w:rsidRDefault="00F576AD" w:rsidP="00F576AD">
      <w:pPr>
        <w:pStyle w:val="ChartBodyLeft"/>
      </w:pPr>
    </w:p>
    <w:tbl>
      <w:tblPr>
        <w:tblW w:w="0" w:type="auto"/>
        <w:tblInd w:w="1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F576AD" w:rsidRPr="001E15D0" w:rsidTr="00F576AD">
        <w:trPr>
          <w:trHeight w:val="60"/>
        </w:trPr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6AD" w:rsidRPr="001E15D0" w:rsidRDefault="00B37850" w:rsidP="00F576AD">
            <w:pPr>
              <w:pStyle w:val="ChartHead"/>
              <w:rPr>
                <w:i/>
              </w:rPr>
            </w:pPr>
            <w:r>
              <w:t>Forces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6AD" w:rsidRPr="001E15D0" w:rsidRDefault="00B37850" w:rsidP="00F576AD">
            <w:pPr>
              <w:pStyle w:val="ChartHead"/>
              <w:rPr>
                <w:i/>
              </w:rPr>
            </w:pPr>
            <w:proofErr w:type="spellStart"/>
            <w:r w:rsidRPr="00B37850">
              <w:t>Domaines</w:t>
            </w:r>
            <w:proofErr w:type="spellEnd"/>
            <w:r w:rsidRPr="00B37850">
              <w:t xml:space="preserve"> </w:t>
            </w:r>
            <w:proofErr w:type="spellStart"/>
            <w:r w:rsidRPr="00B37850">
              <w:t>d’amélioration</w:t>
            </w:r>
            <w:proofErr w:type="spellEnd"/>
            <w:r w:rsidRPr="00B37850">
              <w:t xml:space="preserve"> </w:t>
            </w:r>
            <w:proofErr w:type="spellStart"/>
            <w:r w:rsidRPr="00B37850">
              <w:t>souhaitée</w:t>
            </w:r>
            <w:proofErr w:type="spellEnd"/>
          </w:p>
        </w:tc>
      </w:tr>
      <w:tr w:rsidR="00F576AD" w:rsidRPr="001E15D0" w:rsidTr="00F576AD">
        <w:trPr>
          <w:trHeight w:val="60"/>
        </w:trPr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 xml:space="preserve">1. </w:t>
            </w: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1.</w:t>
            </w:r>
          </w:p>
        </w:tc>
      </w:tr>
      <w:tr w:rsidR="00F576AD" w:rsidRPr="001E15D0" w:rsidTr="00F576AD">
        <w:trPr>
          <w:trHeight w:val="60"/>
        </w:trPr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2.</w:t>
            </w: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2.</w:t>
            </w:r>
          </w:p>
        </w:tc>
      </w:tr>
      <w:tr w:rsidR="00F576AD" w:rsidRPr="001E15D0" w:rsidTr="00F576AD">
        <w:trPr>
          <w:trHeight w:val="60"/>
        </w:trPr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3.</w:t>
            </w: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  <w:p w:rsidR="00F576AD" w:rsidRPr="001E15D0" w:rsidRDefault="00F576AD" w:rsidP="00F576AD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76AD" w:rsidRPr="001E15D0" w:rsidRDefault="00F576AD" w:rsidP="00F576AD">
            <w:pPr>
              <w:pStyle w:val="ChartBodyLeft"/>
              <w:rPr>
                <w:i/>
              </w:rPr>
            </w:pPr>
            <w:r w:rsidRPr="001E15D0">
              <w:t>3.</w:t>
            </w:r>
          </w:p>
        </w:tc>
      </w:tr>
    </w:tbl>
    <w:p w:rsidR="00F576AD" w:rsidRDefault="00F576AD" w:rsidP="00F576AD">
      <w:pPr>
        <w:pStyle w:val="ChartBodyLeft"/>
      </w:pPr>
    </w:p>
    <w:p w:rsidR="00B37850" w:rsidRPr="00B37850" w:rsidRDefault="00B37850" w:rsidP="00B37850">
      <w:pPr>
        <w:rPr>
          <w:i/>
          <w:lang w:val="en-US"/>
        </w:rPr>
      </w:pPr>
      <w:proofErr w:type="spellStart"/>
      <w:r w:rsidRPr="00B37850">
        <w:rPr>
          <w:lang w:val="en-US"/>
        </w:rPr>
        <w:t>Autres</w:t>
      </w:r>
      <w:proofErr w:type="spellEnd"/>
      <w:r w:rsidRPr="00B37850">
        <w:rPr>
          <w:lang w:val="en-US"/>
        </w:rPr>
        <w:t xml:space="preserve"> </w:t>
      </w:r>
      <w:proofErr w:type="spellStart"/>
      <w:proofErr w:type="gramStart"/>
      <w:r w:rsidRPr="00B37850">
        <w:rPr>
          <w:lang w:val="en-US"/>
        </w:rPr>
        <w:t>commentaires</w:t>
      </w:r>
      <w:proofErr w:type="spellEnd"/>
      <w:r w:rsidRPr="00B37850">
        <w:rPr>
          <w:lang w:val="en-US"/>
        </w:rPr>
        <w:t xml:space="preserve"> :</w:t>
      </w:r>
      <w:proofErr w:type="gramEnd"/>
    </w:p>
    <w:p w:rsidR="00F576AD" w:rsidRPr="00F576AD" w:rsidRDefault="00F576AD" w:rsidP="00B37850">
      <w:bookmarkStart w:id="0" w:name="_GoBack"/>
      <w:bookmarkEnd w:id="0"/>
    </w:p>
    <w:sectPr w:rsidR="00F576AD" w:rsidRPr="00F576AD" w:rsidSect="00F576A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35B3B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B37850" w:rsidRDefault="00B37850" w:rsidP="00B3785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MinionPro-Regular" w:hAnsi="MinionPro-Regular" w:cs="MinionPro-Regular"/>
        <w:color w:val="7F7F7F"/>
        <w:szCs w:val="24"/>
        <w:lang w:val="fr-CA"/>
      </w:rPr>
    </w:pPr>
    <w:r w:rsidRPr="00B37850">
      <w:rPr>
        <w:rFonts w:cs="Open Sans"/>
        <w:color w:val="7F7F7F"/>
        <w:sz w:val="14"/>
        <w:szCs w:val="14"/>
        <w:lang w:val="fr-CA"/>
      </w:rPr>
      <w:t>Érudit Outils d’évaluation–</w:t>
    </w:r>
    <w:r w:rsidRPr="00B37850">
      <w:rPr>
        <w:rFonts w:cs="Open Sans"/>
        <w:color w:val="003A5B" w:themeColor="text2"/>
        <w:sz w:val="14"/>
        <w:szCs w:val="14"/>
        <w:lang w:val="fr-CA"/>
      </w:rPr>
      <w:t xml:space="preserve"> RÉTROACTION MULTISOURCE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080B9D"/>
    <w:multiLevelType w:val="hybridMultilevel"/>
    <w:tmpl w:val="83560962"/>
    <w:lvl w:ilvl="0" w:tplc="22A46E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771B4"/>
    <w:multiLevelType w:val="hybridMultilevel"/>
    <w:tmpl w:val="C2DE3FA2"/>
    <w:lvl w:ilvl="0" w:tplc="22A46E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0C23"/>
    <w:multiLevelType w:val="hybridMultilevel"/>
    <w:tmpl w:val="96E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5"/>
  </w:num>
  <w:num w:numId="16">
    <w:abstractNumId w:val="14"/>
  </w:num>
  <w:num w:numId="17">
    <w:abstractNumId w:val="12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5EE3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12C82"/>
    <w:rsid w:val="00942992"/>
    <w:rsid w:val="00954630"/>
    <w:rsid w:val="009733A1"/>
    <w:rsid w:val="00995F49"/>
    <w:rsid w:val="009C1879"/>
    <w:rsid w:val="009E2429"/>
    <w:rsid w:val="00A24FBE"/>
    <w:rsid w:val="00AE0AF1"/>
    <w:rsid w:val="00AE7966"/>
    <w:rsid w:val="00AF2D83"/>
    <w:rsid w:val="00B37850"/>
    <w:rsid w:val="00B529F3"/>
    <w:rsid w:val="00B6716C"/>
    <w:rsid w:val="00B87B52"/>
    <w:rsid w:val="00BB4DA6"/>
    <w:rsid w:val="00C01A0E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576AD"/>
    <w:rsid w:val="00F74B94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34990C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SubtleReference">
    <w:name w:val="Subtle Reference"/>
    <w:basedOn w:val="DefaultParagraphFont"/>
    <w:uiPriority w:val="31"/>
    <w:qFormat/>
    <w:rsid w:val="00F576AD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9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29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f3c17827-2a44-4186-817e-0d9f5805cd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5B2B2-3CDB-49D5-BC17-DE47FF40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134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6</cp:revision>
  <cp:lastPrinted>2018-08-24T17:51:00Z</cp:lastPrinted>
  <dcterms:created xsi:type="dcterms:W3CDTF">2021-10-21T17:38:00Z</dcterms:created>
  <dcterms:modified xsi:type="dcterms:W3CDTF">2021-11-25T18:37:00Z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