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B244E3" w:rsidRDefault="00B244E3" w:rsidP="00451DF5">
      <w:pPr>
        <w:pStyle w:val="Heading1"/>
        <w:rPr>
          <w:lang w:val="fr-CA"/>
        </w:rPr>
      </w:pPr>
      <w:r w:rsidRPr="00B244E3">
        <w:rPr>
          <w:lang w:val="fr-CA"/>
        </w:rPr>
        <w:t xml:space="preserve">Outils d’évaluation </w:t>
      </w:r>
      <w:r w:rsidR="00BB1BB9" w:rsidRPr="00B244E3">
        <w:rPr>
          <w:lang w:val="fr-CA"/>
        </w:rPr>
        <w:t>5 –</w:t>
      </w:r>
      <w:r w:rsidRPr="00B244E3">
        <w:rPr>
          <w:lang w:val="fr-CA"/>
        </w:rPr>
        <w:t>Enseignement individualisé</w:t>
      </w:r>
    </w:p>
    <w:p w:rsidR="002B03F8" w:rsidRPr="00B244E3" w:rsidRDefault="00BB1BB9" w:rsidP="00451DF5">
      <w:pPr>
        <w:pStyle w:val="Subtitle"/>
        <w:rPr>
          <w:lang w:val="fr-CA"/>
        </w:rPr>
      </w:pPr>
      <w:r w:rsidRPr="00B244E3">
        <w:rPr>
          <w:lang w:val="fr-CA"/>
        </w:rPr>
        <w:t xml:space="preserve">CanMEDS </w:t>
      </w:r>
      <w:r w:rsidR="00B244E3" w:rsidRPr="00B244E3">
        <w:rPr>
          <w:lang w:val="fr-CA"/>
        </w:rPr>
        <w:t xml:space="preserve">Érudit  </w:t>
      </w:r>
    </w:p>
    <w:p w:rsidR="00BB1BB9" w:rsidRPr="00B244E3" w:rsidRDefault="00B244E3" w:rsidP="00BB1BB9">
      <w:pPr>
        <w:pStyle w:val="Heading2"/>
        <w:rPr>
          <w:color w:val="auto"/>
          <w:lang w:val="fr-CA"/>
        </w:rPr>
      </w:pPr>
      <w:r>
        <w:rPr>
          <w:lang w:val="fr-CA"/>
        </w:rPr>
        <w:t>V</w:t>
      </w:r>
      <w:r w:rsidRPr="00B244E3">
        <w:rPr>
          <w:lang w:val="fr-CA"/>
        </w:rPr>
        <w:t>érification d′une réunion pour un projet de recherche</w:t>
      </w:r>
      <w:r w:rsidR="00BB1BB9">
        <w:rPr>
          <w:rStyle w:val="EndnoteReference"/>
          <w:b w:val="0"/>
          <w:sz w:val="28"/>
          <w:szCs w:val="28"/>
        </w:rPr>
        <w:endnoteReference w:id="1"/>
      </w:r>
    </w:p>
    <w:p w:rsidR="00BB1BB9" w:rsidRPr="00B244E3" w:rsidRDefault="00B244E3" w:rsidP="00BB1BB9">
      <w:pPr>
        <w:rPr>
          <w:rStyle w:val="SubtleReference"/>
          <w:iCs/>
          <w:sz w:val="22"/>
          <w:lang w:val="fr-CA"/>
        </w:rPr>
      </w:pPr>
      <w:r w:rsidRPr="00B244E3">
        <w:rPr>
          <w:iCs/>
          <w:smallCaps/>
          <w:color w:val="5A5A5A" w:themeColor="text1" w:themeTint="A5"/>
          <w:sz w:val="22"/>
          <w:lang w:val="fr-CA"/>
        </w:rPr>
        <w:t xml:space="preserve">Le contenu ci-dessous, rédigé par S. </w:t>
      </w:r>
      <w:proofErr w:type="spellStart"/>
      <w:r w:rsidRPr="00B244E3">
        <w:rPr>
          <w:iCs/>
          <w:smallCaps/>
          <w:color w:val="5A5A5A" w:themeColor="text1" w:themeTint="A5"/>
          <w:sz w:val="22"/>
          <w:lang w:val="fr-CA"/>
        </w:rPr>
        <w:t>Ackroyd</w:t>
      </w:r>
      <w:proofErr w:type="spellEnd"/>
      <w:r w:rsidRPr="00B244E3">
        <w:rPr>
          <w:iCs/>
          <w:smallCaps/>
          <w:color w:val="5A5A5A" w:themeColor="text1" w:themeTint="A5"/>
          <w:sz w:val="22"/>
          <w:lang w:val="fr-CA"/>
        </w:rPr>
        <w:t xml:space="preserve"> </w:t>
      </w:r>
      <w:proofErr w:type="spellStart"/>
      <w:r w:rsidRPr="00B244E3">
        <w:rPr>
          <w:iCs/>
          <w:smallCaps/>
          <w:color w:val="5A5A5A" w:themeColor="text1" w:themeTint="A5"/>
          <w:sz w:val="22"/>
          <w:lang w:val="fr-CA"/>
        </w:rPr>
        <w:t>Stolarz</w:t>
      </w:r>
      <w:proofErr w:type="spellEnd"/>
      <w:r w:rsidRPr="00B244E3">
        <w:rPr>
          <w:iCs/>
          <w:smallCaps/>
          <w:color w:val="5A5A5A" w:themeColor="text1" w:themeTint="A5"/>
          <w:sz w:val="22"/>
          <w:lang w:val="fr-CA"/>
        </w:rPr>
        <w:t xml:space="preserve"> sous la gouverne du Collège royal des médecins et chirurgiens du Canada, est tiré tel quel </w:t>
      </w:r>
      <w:proofErr w:type="spellStart"/>
      <w:r w:rsidRPr="00B244E3">
        <w:rPr>
          <w:iCs/>
          <w:smallCaps/>
          <w:color w:val="5A5A5A" w:themeColor="text1" w:themeTint="A5"/>
          <w:sz w:val="22"/>
          <w:lang w:val="fr-CA"/>
        </w:rPr>
        <w:t>du</w:t>
      </w:r>
      <w:proofErr w:type="spellEnd"/>
      <w:r w:rsidRPr="00B244E3">
        <w:rPr>
          <w:iCs/>
          <w:smallCaps/>
          <w:color w:val="5A5A5A" w:themeColor="text1" w:themeTint="A5"/>
          <w:sz w:val="22"/>
          <w:lang w:val="fr-CA"/>
        </w:rPr>
        <w:t xml:space="preserve"> Le guide de la recherche : introduction destinée aux résidents, autres stagiaires en santé et praticiens. Vous pouvez utiliser, reproduire et modifier ce contenu à vos propres fins non commerciales, à condition d’indiquer clairement vos changements et de créditer le Collège royal. Ce dernier peut révoquer cette autorisation à tout moment, par écrit.  </w:t>
      </w:r>
    </w:p>
    <w:p w:rsidR="00322403" w:rsidRPr="00B244E3" w:rsidRDefault="00B244E3" w:rsidP="00BB1BB9">
      <w:pPr>
        <w:rPr>
          <w:rStyle w:val="SubtleReference"/>
          <w:b/>
          <w:iCs/>
          <w:sz w:val="22"/>
          <w:lang w:val="fr-CA"/>
        </w:rPr>
      </w:pPr>
      <w:r w:rsidRPr="00B244E3">
        <w:rPr>
          <w:b/>
          <w:bCs/>
          <w:iCs/>
          <w:smallCaps/>
          <w:color w:val="5A5A5A" w:themeColor="text1" w:themeTint="A5"/>
          <w:sz w:val="22"/>
          <w:lang w:val="fr-CA"/>
        </w:rPr>
        <w:t>REMARQUE : Le contenu ci-dessous peut avoir été modifié et ne plus représenter l’opinion ou le point de vue du Collège royal.</w:t>
      </w:r>
    </w:p>
    <w:p w:rsidR="00B244E3" w:rsidRPr="00B244E3" w:rsidRDefault="00B244E3" w:rsidP="00B244E3">
      <w:pPr>
        <w:pStyle w:val="Heading3"/>
        <w:rPr>
          <w:color w:val="003A5B" w:themeColor="text2"/>
          <w:lang w:val="fr-CA" w:eastAsia="ja-JP"/>
        </w:rPr>
      </w:pPr>
      <w:r w:rsidRPr="00B244E3">
        <w:rPr>
          <w:color w:val="003A5B" w:themeColor="text2"/>
          <w:lang w:val="fr-CA" w:eastAsia="ja-JP"/>
        </w:rPr>
        <w:t xml:space="preserve">Directives à l’intention de l’enseignant : </w:t>
      </w:r>
    </w:p>
    <w:p w:rsidR="00B244E3" w:rsidRPr="00B244E3" w:rsidRDefault="00B244E3" w:rsidP="00B244E3">
      <w:pPr>
        <w:pStyle w:val="ListParagraph"/>
        <w:rPr>
          <w:bCs/>
          <w:lang w:val="fr-CA" w:eastAsia="ja-JP"/>
        </w:rPr>
      </w:pPr>
      <w:r w:rsidRPr="00B244E3">
        <w:rPr>
          <w:bCs/>
          <w:lang w:val="fr-CA" w:eastAsia="ja-JP"/>
        </w:rPr>
        <w:t>Rencontrez l’apprenant pour une séance d’enseignement individuelle afin de revoir avec lui les étapes cruciales de préparation d’une réunion pour un projet de recherche.</w:t>
      </w:r>
    </w:p>
    <w:p w:rsidR="00B244E3" w:rsidRPr="00B244E3" w:rsidRDefault="00B244E3" w:rsidP="00B244E3">
      <w:pPr>
        <w:pStyle w:val="ListParagraph"/>
        <w:rPr>
          <w:bCs/>
          <w:lang w:val="fr-CA" w:eastAsia="ja-JP"/>
        </w:rPr>
      </w:pPr>
      <w:r w:rsidRPr="00B244E3">
        <w:rPr>
          <w:bCs/>
          <w:lang w:val="fr-CA" w:eastAsia="ja-JP"/>
        </w:rPr>
        <w:t>Préparez-vous à lui expliquer chacune des étapes au besoin.</w:t>
      </w:r>
    </w:p>
    <w:p w:rsidR="00BB1BB9" w:rsidRPr="00B244E3" w:rsidRDefault="00B244E3" w:rsidP="00B244E3">
      <w:pPr>
        <w:pStyle w:val="ListParagraph"/>
        <w:rPr>
          <w:bCs/>
          <w:lang w:val="fr-CA" w:eastAsia="ja-JP"/>
        </w:rPr>
      </w:pPr>
      <w:r w:rsidRPr="00B244E3">
        <w:rPr>
          <w:bCs/>
          <w:lang w:val="fr-CA" w:eastAsia="ja-JP"/>
        </w:rPr>
        <w:t>Suivant la rencontre, revenez régulièrement à la liste de vérification avec l’apprenant (aux trois mois p. ex.) afin de vérifier et de favoriser son progrès.</w:t>
      </w:r>
    </w:p>
    <w:p w:rsidR="00BB1BB9" w:rsidRPr="00B244E3" w:rsidRDefault="00B244E3" w:rsidP="008A6C82">
      <w:pPr>
        <w:pStyle w:val="Heading3"/>
        <w:rPr>
          <w:color w:val="003A5B" w:themeColor="text2"/>
          <w:lang w:val="fr-CA" w:eastAsia="ja-JP"/>
        </w:rPr>
      </w:pPr>
      <w:r w:rsidRPr="00B244E3">
        <w:rPr>
          <w:color w:val="003A5B" w:themeColor="text2"/>
          <w:lang w:val="fr-CA" w:eastAsia="ja-JP"/>
        </w:rPr>
        <w:t xml:space="preserve">Questions visant à préparer un apprenant à participer à une réunion de recherche : </w:t>
      </w:r>
    </w:p>
    <w:p w:rsidR="00BB1BB9" w:rsidRPr="00B244E3" w:rsidRDefault="00B244E3" w:rsidP="00BB1BB9">
      <w:pPr>
        <w:pStyle w:val="ListParagraph"/>
        <w:numPr>
          <w:ilvl w:val="0"/>
          <w:numId w:val="15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Un calendrier d’exécution a-t-il été établi pour le projet de recherche, et a-t-on prévu du temps additionnel (au moins 25 %) pour les contretemps inévitables? (Se reporter à l’outil d’enseignement E8.)</w:t>
      </w:r>
    </w:p>
    <w:p w:rsidR="00BB1BB9" w:rsidRPr="00B244E3" w:rsidRDefault="00B244E3" w:rsidP="00BB1BB9">
      <w:pPr>
        <w:pStyle w:val="ListParagraph"/>
        <w:numPr>
          <w:ilvl w:val="0"/>
          <w:numId w:val="15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Quelles stratégies sont prévues en ce qui concerne les difficultés imprévues à surmonter, les suggestions de ressources de recherche utiles dans l’organisme, et la gestion du temps?</w:t>
      </w:r>
    </w:p>
    <w:p w:rsidR="00BB1BB9" w:rsidRPr="00B244E3" w:rsidRDefault="00B244E3" w:rsidP="00BB1BB9">
      <w:pPr>
        <w:pStyle w:val="ListParagraph"/>
        <w:numPr>
          <w:ilvl w:val="0"/>
          <w:numId w:val="15"/>
        </w:numPr>
        <w:autoSpaceDE w:val="0"/>
        <w:autoSpaceDN w:val="0"/>
        <w:rPr>
          <w:rFonts w:eastAsia="MS ??"/>
          <w:noProof/>
          <w:lang w:val="fr-CA"/>
        </w:rPr>
      </w:pPr>
      <w:r w:rsidRPr="00B244E3">
        <w:rPr>
          <w:rFonts w:eastAsiaTheme="minorEastAsia" w:cs="AGaramondPro-Regular"/>
          <w:bCs/>
          <w:lang w:val="fr-CA" w:eastAsia="ja-JP"/>
        </w:rPr>
        <w:lastRenderedPageBreak/>
        <w:t>Avez-vous consulté le directeur de programme ainsi que le directeur et le personnel de recherche de votre département afin de savoir quelles ressources sont à disposition pour la réalisation du projet de recherche?</w:t>
      </w:r>
    </w:p>
    <w:p w:rsidR="00BB1BB9" w:rsidRPr="00B244E3" w:rsidRDefault="00B244E3" w:rsidP="008A6C82">
      <w:pPr>
        <w:pStyle w:val="Heading3"/>
        <w:rPr>
          <w:color w:val="003A5B" w:themeColor="text2"/>
          <w:lang w:val="fr-CA" w:eastAsia="ja-JP"/>
        </w:rPr>
      </w:pPr>
      <w:r w:rsidRPr="00B244E3">
        <w:rPr>
          <w:color w:val="003A5B" w:themeColor="text2"/>
          <w:lang w:val="fr-CA" w:eastAsia="ja-JP"/>
        </w:rPr>
        <w:t>Liste de vérification sommaire des éléments à discuter à la réunion de recherche :</w:t>
      </w:r>
    </w:p>
    <w:p w:rsidR="00BB1BB9" w:rsidRPr="00B244E3" w:rsidRDefault="00B244E3" w:rsidP="00BB1BB9">
      <w:pPr>
        <w:pStyle w:val="ListParagraph"/>
        <w:numPr>
          <w:ilvl w:val="0"/>
          <w:numId w:val="16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Avan</w:t>
      </w:r>
      <w:proofErr w:type="spellStart"/>
      <w:r w:rsidRPr="00B244E3">
        <w:rPr>
          <w:rFonts w:eastAsiaTheme="minorEastAsia" w:cs="AGaramondPro-Regular"/>
          <w:bCs/>
          <w:lang w:val="fr-CA" w:eastAsia="ja-JP"/>
        </w:rPr>
        <w:t>t le début</w:t>
      </w:r>
      <w:proofErr w:type="spellEnd"/>
      <w:r w:rsidRPr="00B244E3">
        <w:rPr>
          <w:rFonts w:eastAsiaTheme="minorEastAsia" w:cs="AGaramondPro-Regular"/>
          <w:bCs/>
          <w:lang w:val="fr-CA" w:eastAsia="ja-JP"/>
        </w:rPr>
        <w:t xml:space="preserve"> du projet</w:t>
      </w:r>
    </w:p>
    <w:p w:rsidR="00BB1BB9" w:rsidRPr="00B244E3" w:rsidRDefault="00B244E3" w:rsidP="00BB1BB9">
      <w:pPr>
        <w:pStyle w:val="ListParagraph"/>
        <w:numPr>
          <w:ilvl w:val="0"/>
          <w:numId w:val="16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Établir un protocole</w:t>
      </w:r>
    </w:p>
    <w:p w:rsidR="00BB1BB9" w:rsidRPr="00B244E3" w:rsidRDefault="00B244E3" w:rsidP="00BB1BB9">
      <w:pPr>
        <w:pStyle w:val="ListParagraph"/>
        <w:numPr>
          <w:ilvl w:val="0"/>
          <w:numId w:val="16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Consulter un statisticien (si cela s’applique)</w:t>
      </w:r>
    </w:p>
    <w:p w:rsidR="00BB1BB9" w:rsidRPr="00B244E3" w:rsidRDefault="00B244E3" w:rsidP="00BB1BB9">
      <w:pPr>
        <w:pStyle w:val="ListParagraph"/>
        <w:numPr>
          <w:ilvl w:val="0"/>
          <w:numId w:val="16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Établir les procédures nécessaires à l’étude (formulaires de collecte de données, mécanismes pour suivre le progrès, etc.)</w:t>
      </w:r>
    </w:p>
    <w:p w:rsidR="00BB1BB9" w:rsidRPr="00B244E3" w:rsidRDefault="00B244E3" w:rsidP="00BB1BB9">
      <w:pPr>
        <w:pStyle w:val="ListParagraph"/>
        <w:numPr>
          <w:ilvl w:val="0"/>
          <w:numId w:val="16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Cerner les sources potentielles de financement</w:t>
      </w:r>
    </w:p>
    <w:p w:rsidR="00BB1BB9" w:rsidRPr="00B244E3" w:rsidRDefault="00B244E3" w:rsidP="00B244E3">
      <w:pPr>
        <w:pStyle w:val="ListParagraph"/>
        <w:numPr>
          <w:ilvl w:val="0"/>
          <w:numId w:val="16"/>
        </w:numPr>
        <w:autoSpaceDE w:val="0"/>
        <w:autoSpaceDN w:val="0"/>
        <w:rPr>
          <w:rFonts w:eastAsiaTheme="minorEastAsia" w:cs="AGaramondPro-Regular"/>
          <w:bCs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Établir un calendrier d’exécution (qui prévoit les contretemps)</w:t>
      </w:r>
    </w:p>
    <w:p w:rsidR="00BB1BB9" w:rsidRPr="00B244E3" w:rsidRDefault="00B244E3" w:rsidP="00B244E3">
      <w:pPr>
        <w:pStyle w:val="ListParagraph"/>
        <w:numPr>
          <w:ilvl w:val="0"/>
          <w:numId w:val="16"/>
        </w:numPr>
        <w:autoSpaceDE w:val="0"/>
        <w:autoSpaceDN w:val="0"/>
        <w:rPr>
          <w:rFonts w:eastAsiaTheme="minorEastAsia" w:cs="AGaramondPro-Regular"/>
          <w:bCs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Présenter une proposition au comité d’éthique et obtenir une approbation</w:t>
      </w:r>
    </w:p>
    <w:p w:rsidR="00BB1BB9" w:rsidRDefault="00B244E3" w:rsidP="00BB1BB9">
      <w:pPr>
        <w:autoSpaceDE w:val="0"/>
        <w:autoSpaceDN w:val="0"/>
        <w:adjustRightInd w:val="0"/>
        <w:ind w:left="720" w:hanging="360"/>
        <w:rPr>
          <w:rFonts w:eastAsiaTheme="minorEastAsia" w:cs="AGaramondPro-Regular"/>
          <w:lang w:eastAsia="ja-JP"/>
        </w:rPr>
      </w:pPr>
      <w:r w:rsidRPr="00B244E3">
        <w:rPr>
          <w:rFonts w:eastAsiaTheme="minorEastAsia" w:cs="AGaramondPro-Regular"/>
          <w:bCs/>
          <w:lang w:eastAsia="ja-JP"/>
        </w:rPr>
        <w:t xml:space="preserve">Date </w:t>
      </w:r>
      <w:proofErr w:type="spellStart"/>
      <w:proofErr w:type="gramStart"/>
      <w:r w:rsidRPr="00B244E3">
        <w:rPr>
          <w:rFonts w:eastAsiaTheme="minorEastAsia" w:cs="AGaramondPro-Regular"/>
          <w:bCs/>
          <w:lang w:eastAsia="ja-JP"/>
        </w:rPr>
        <w:t>d’approbation</w:t>
      </w:r>
      <w:proofErr w:type="spellEnd"/>
      <w:r w:rsidRPr="00B244E3">
        <w:rPr>
          <w:rFonts w:eastAsiaTheme="minorEastAsia" w:cs="AGaramondPro-Regular"/>
          <w:bCs/>
          <w:lang w:eastAsia="ja-JP"/>
        </w:rPr>
        <w:t xml:space="preserve"> </w:t>
      </w:r>
      <w:r>
        <w:rPr>
          <w:rFonts w:eastAsiaTheme="minorEastAsia" w:cs="AGaramondPro-Regular"/>
          <w:bCs/>
          <w:lang w:eastAsia="ja-JP"/>
        </w:rPr>
        <w:t>:</w:t>
      </w:r>
      <w:proofErr w:type="gramEnd"/>
      <w:r w:rsidR="00BB1BB9">
        <w:rPr>
          <w:rFonts w:eastAsiaTheme="minorEastAsia" w:cs="AGaramondPro-Regular"/>
          <w:lang w:eastAsia="ja-JP"/>
        </w:rPr>
        <w:t>________________________</w:t>
      </w:r>
    </w:p>
    <w:p w:rsidR="00BB1BB9" w:rsidRPr="00B244E3" w:rsidRDefault="00B244E3" w:rsidP="00BB1BB9">
      <w:pPr>
        <w:pStyle w:val="ListParagraph"/>
        <w:numPr>
          <w:ilvl w:val="0"/>
          <w:numId w:val="16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Déterminer les rôles et responsabilité de l’équipe de recherche</w:t>
      </w:r>
    </w:p>
    <w:p w:rsidR="00BB1BB9" w:rsidRPr="00B244E3" w:rsidRDefault="00B244E3" w:rsidP="00BB1BB9">
      <w:pPr>
        <w:pStyle w:val="ListParagraph"/>
        <w:numPr>
          <w:ilvl w:val="0"/>
          <w:numId w:val="16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B244E3">
        <w:rPr>
          <w:rFonts w:eastAsiaTheme="minorEastAsia" w:cs="AGaramondPro-Regular"/>
          <w:lang w:val="fr-CA" w:eastAsia="ja-JP"/>
        </w:rPr>
        <w:t>Déterminer les modes de communication, la fréquence (ex. : mises à jour aux deux semaines)</w:t>
      </w:r>
    </w:p>
    <w:p w:rsidR="00BB1BB9" w:rsidRPr="00B244E3" w:rsidRDefault="00B244E3" w:rsidP="008A6C82">
      <w:pPr>
        <w:pStyle w:val="Heading3"/>
        <w:rPr>
          <w:color w:val="003A5B" w:themeColor="text2"/>
          <w:lang w:val="en-US" w:eastAsia="ja-JP"/>
        </w:rPr>
      </w:pPr>
      <w:r w:rsidRPr="00B244E3">
        <w:rPr>
          <w:color w:val="003A5B" w:themeColor="text2"/>
          <w:lang w:val="en-US" w:eastAsia="ja-JP"/>
        </w:rPr>
        <w:t xml:space="preserve">Début du </w:t>
      </w:r>
      <w:proofErr w:type="spellStart"/>
      <w:r w:rsidRPr="00B244E3">
        <w:rPr>
          <w:color w:val="003A5B" w:themeColor="text2"/>
          <w:lang w:val="en-US" w:eastAsia="ja-JP"/>
        </w:rPr>
        <w:t>projet</w:t>
      </w:r>
      <w:proofErr w:type="spellEnd"/>
    </w:p>
    <w:p w:rsidR="00BB1BB9" w:rsidRPr="00B244E3" w:rsidRDefault="00B244E3" w:rsidP="00B244E3">
      <w:pPr>
        <w:pStyle w:val="ListParagraph"/>
        <w:numPr>
          <w:ilvl w:val="0"/>
          <w:numId w:val="17"/>
        </w:numPr>
        <w:autoSpaceDE w:val="0"/>
        <w:autoSpaceDN w:val="0"/>
        <w:rPr>
          <w:rFonts w:eastAsiaTheme="minorEastAsia" w:cs="AGaramondPro-Regular"/>
          <w:bCs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Embaucher et former le personnel de recherche (le cas échéant)</w:t>
      </w:r>
    </w:p>
    <w:p w:rsidR="00BB1BB9" w:rsidRPr="00B244E3" w:rsidRDefault="00B244E3" w:rsidP="00BB1BB9">
      <w:pPr>
        <w:pStyle w:val="ListParagraph"/>
        <w:numPr>
          <w:ilvl w:val="0"/>
          <w:numId w:val="17"/>
        </w:numPr>
        <w:autoSpaceDE w:val="0"/>
        <w:autoSpaceDN w:val="0"/>
        <w:rPr>
          <w:rFonts w:eastAsiaTheme="minorEastAsia" w:cs="AGaramondPro-Regular"/>
          <w:sz w:val="22"/>
          <w:lang w:val="fr-CA" w:eastAsia="ja-JP"/>
        </w:rPr>
      </w:pPr>
      <w:r w:rsidRPr="00B244E3">
        <w:rPr>
          <w:rFonts w:eastAsiaTheme="minorEastAsia" w:cs="AGaramondPro-Regular"/>
          <w:bCs/>
          <w:lang w:val="fr-CA" w:eastAsia="ja-JP"/>
        </w:rPr>
        <w:t>Établir un compte pour le projet (si nécessaire)</w:t>
      </w:r>
    </w:p>
    <w:p w:rsidR="00BB1BB9" w:rsidRDefault="00B244E3" w:rsidP="00BB1BB9">
      <w:pPr>
        <w:autoSpaceDE w:val="0"/>
        <w:autoSpaceDN w:val="0"/>
        <w:adjustRightInd w:val="0"/>
        <w:ind w:left="720" w:hanging="360"/>
        <w:rPr>
          <w:rFonts w:eastAsiaTheme="minorEastAsia" w:cs="AGaramondPro-Regular"/>
          <w:lang w:eastAsia="ja-JP"/>
        </w:rPr>
      </w:pPr>
      <w:proofErr w:type="spellStart"/>
      <w:r w:rsidRPr="00B244E3">
        <w:rPr>
          <w:rFonts w:eastAsiaTheme="minorEastAsia" w:cs="AGaramondPro-Regular"/>
          <w:bCs/>
          <w:lang w:eastAsia="ja-JP"/>
        </w:rPr>
        <w:t>Numéro</w:t>
      </w:r>
      <w:proofErr w:type="spellEnd"/>
      <w:r w:rsidRPr="00B244E3">
        <w:rPr>
          <w:rFonts w:eastAsiaTheme="minorEastAsia" w:cs="AGaramondPro-Regular"/>
          <w:bCs/>
          <w:lang w:eastAsia="ja-JP"/>
        </w:rPr>
        <w:t xml:space="preserve"> de </w:t>
      </w:r>
      <w:proofErr w:type="spellStart"/>
      <w:proofErr w:type="gramStart"/>
      <w:r w:rsidRPr="00B244E3">
        <w:rPr>
          <w:rFonts w:eastAsiaTheme="minorEastAsia" w:cs="AGaramondPro-Regular"/>
          <w:bCs/>
          <w:lang w:eastAsia="ja-JP"/>
        </w:rPr>
        <w:t>compte</w:t>
      </w:r>
      <w:proofErr w:type="spellEnd"/>
      <w:r w:rsidRPr="00B244E3">
        <w:rPr>
          <w:rFonts w:eastAsiaTheme="minorEastAsia" w:cs="AGaramondPro-Regular"/>
          <w:bCs/>
          <w:lang w:eastAsia="ja-JP"/>
        </w:rPr>
        <w:t xml:space="preserve"> </w:t>
      </w:r>
      <w:r>
        <w:rPr>
          <w:rFonts w:eastAsiaTheme="minorEastAsia" w:cs="AGaramondPro-Regular"/>
          <w:bCs/>
          <w:lang w:eastAsia="ja-JP"/>
        </w:rPr>
        <w:t>:</w:t>
      </w:r>
      <w:proofErr w:type="gramEnd"/>
      <w:r>
        <w:rPr>
          <w:rFonts w:eastAsiaTheme="minorEastAsia" w:cs="AGaramondPro-Regular"/>
          <w:lang w:eastAsia="ja-JP"/>
        </w:rPr>
        <w:t xml:space="preserve"> </w:t>
      </w:r>
      <w:r w:rsidR="00BB1BB9">
        <w:rPr>
          <w:rFonts w:eastAsiaTheme="minorEastAsia" w:cs="AGaramondPro-Regular"/>
          <w:lang w:eastAsia="ja-JP"/>
        </w:rPr>
        <w:t xml:space="preserve"> ______________________</w:t>
      </w:r>
    </w:p>
    <w:p w:rsidR="00BB1BB9" w:rsidRPr="00735257" w:rsidRDefault="00735257" w:rsidP="00BB1BB9">
      <w:pPr>
        <w:pStyle w:val="ListParagraph"/>
        <w:numPr>
          <w:ilvl w:val="0"/>
          <w:numId w:val="17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735257">
        <w:rPr>
          <w:rFonts w:eastAsiaTheme="minorEastAsia" w:cs="AGaramondPro-Regular"/>
          <w:bCs/>
          <w:lang w:val="fr-CA" w:eastAsia="ja-JP"/>
        </w:rPr>
        <w:t>Établir et amorcer des mécanismes de surveillance</w:t>
      </w:r>
    </w:p>
    <w:p w:rsidR="00BB1BB9" w:rsidRPr="00735257" w:rsidRDefault="00735257" w:rsidP="008A6C82">
      <w:pPr>
        <w:pStyle w:val="Heading3"/>
        <w:rPr>
          <w:color w:val="003A5B" w:themeColor="text2"/>
          <w:lang w:val="fr-CA" w:eastAsia="ja-JP"/>
        </w:rPr>
      </w:pPr>
      <w:r w:rsidRPr="00735257">
        <w:rPr>
          <w:color w:val="003A5B" w:themeColor="text2"/>
          <w:lang w:val="fr-CA" w:eastAsia="ja-JP"/>
        </w:rPr>
        <w:t>Tout au long du proje</w:t>
      </w:r>
      <w:r>
        <w:rPr>
          <w:color w:val="003A5B" w:themeColor="text2"/>
          <w:lang w:val="fr-CA" w:eastAsia="ja-JP"/>
        </w:rPr>
        <w:t>t</w:t>
      </w:r>
    </w:p>
    <w:p w:rsidR="00BB1BB9" w:rsidRPr="00735257" w:rsidRDefault="00735257" w:rsidP="00735257">
      <w:pPr>
        <w:autoSpaceDE w:val="0"/>
        <w:autoSpaceDN w:val="0"/>
        <w:adjustRightInd w:val="0"/>
        <w:ind w:left="720" w:hanging="360"/>
        <w:rPr>
          <w:rFonts w:eastAsiaTheme="minorEastAsia" w:cs="AGaramondPro-BoldItalic"/>
          <w:b/>
          <w:bCs/>
          <w:i/>
          <w:iCs/>
          <w:lang w:val="en-US" w:eastAsia="ja-JP"/>
        </w:rPr>
      </w:pPr>
      <w:proofErr w:type="spellStart"/>
      <w:r w:rsidRPr="00735257">
        <w:rPr>
          <w:rFonts w:eastAsiaTheme="minorEastAsia" w:cs="AGaramondPro-BoldItalic"/>
          <w:b/>
          <w:bCs/>
          <w:i/>
          <w:iCs/>
          <w:lang w:val="en-US" w:eastAsia="ja-JP"/>
        </w:rPr>
        <w:t>Surveiller</w:t>
      </w:r>
      <w:proofErr w:type="spellEnd"/>
      <w:r w:rsidRPr="00735257">
        <w:rPr>
          <w:rFonts w:eastAsiaTheme="minorEastAsia" w:cs="AGaramondPro-BoldItalic"/>
          <w:b/>
          <w:bCs/>
          <w:i/>
          <w:iCs/>
          <w:lang w:val="en-US" w:eastAsia="ja-JP"/>
        </w:rPr>
        <w:t xml:space="preserve"> </w:t>
      </w:r>
      <w:proofErr w:type="spellStart"/>
      <w:proofErr w:type="gramStart"/>
      <w:r w:rsidRPr="00735257">
        <w:rPr>
          <w:rFonts w:eastAsiaTheme="minorEastAsia" w:cs="AGaramondPro-BoldItalic"/>
          <w:b/>
          <w:bCs/>
          <w:i/>
          <w:iCs/>
          <w:lang w:val="en-US" w:eastAsia="ja-JP"/>
        </w:rPr>
        <w:t>régulièrement</w:t>
      </w:r>
      <w:proofErr w:type="spellEnd"/>
      <w:r w:rsidRPr="00735257">
        <w:rPr>
          <w:rFonts w:eastAsiaTheme="minorEastAsia" w:cs="AGaramondPro-BoldItalic"/>
          <w:b/>
          <w:bCs/>
          <w:i/>
          <w:iCs/>
          <w:lang w:val="en-US" w:eastAsia="ja-JP"/>
        </w:rPr>
        <w:t xml:space="preserve"> :</w:t>
      </w:r>
      <w:proofErr w:type="gramEnd"/>
      <w:r w:rsidRPr="00735257">
        <w:rPr>
          <w:rFonts w:eastAsiaTheme="minorEastAsia" w:cs="AGaramondPro-BoldItalic"/>
          <w:b/>
          <w:bCs/>
          <w:i/>
          <w:iCs/>
          <w:lang w:val="en-US" w:eastAsia="ja-JP"/>
        </w:rPr>
        <w:t xml:space="preserve"> </w:t>
      </w:r>
    </w:p>
    <w:p w:rsidR="00BB1BB9" w:rsidRPr="00735257" w:rsidRDefault="00735257" w:rsidP="00BB1BB9">
      <w:pPr>
        <w:pStyle w:val="ListParagraph"/>
        <w:numPr>
          <w:ilvl w:val="0"/>
          <w:numId w:val="17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735257">
        <w:rPr>
          <w:rFonts w:eastAsiaTheme="minorEastAsia" w:cs="AGaramondPro-Regular"/>
          <w:bCs/>
          <w:lang w:val="fr-CA" w:eastAsia="ja-JP"/>
        </w:rPr>
        <w:t>Recrutement de participants, taux de participation aux sondages</w:t>
      </w:r>
    </w:p>
    <w:p w:rsidR="00BB1BB9" w:rsidRPr="00BB1BB9" w:rsidRDefault="00735257" w:rsidP="00BB1BB9">
      <w:pPr>
        <w:pStyle w:val="ListParagraph"/>
        <w:numPr>
          <w:ilvl w:val="0"/>
          <w:numId w:val="17"/>
        </w:numPr>
        <w:autoSpaceDE w:val="0"/>
        <w:autoSpaceDN w:val="0"/>
        <w:rPr>
          <w:rFonts w:eastAsiaTheme="minorEastAsia" w:cs="AGaramondPro-Regular"/>
          <w:lang w:eastAsia="ja-JP"/>
        </w:rPr>
      </w:pPr>
      <w:proofErr w:type="spellStart"/>
      <w:r w:rsidRPr="00735257">
        <w:rPr>
          <w:rFonts w:eastAsiaTheme="minorEastAsia" w:cs="AGaramondPro-Regular"/>
          <w:bCs/>
          <w:lang w:eastAsia="ja-JP"/>
        </w:rPr>
        <w:t>Adhésion</w:t>
      </w:r>
      <w:proofErr w:type="spellEnd"/>
      <w:r w:rsidRPr="00735257">
        <w:rPr>
          <w:rFonts w:eastAsiaTheme="minorEastAsia" w:cs="AGaramondPro-Regular"/>
          <w:bCs/>
          <w:lang w:eastAsia="ja-JP"/>
        </w:rPr>
        <w:t xml:space="preserve"> au </w:t>
      </w:r>
      <w:proofErr w:type="spellStart"/>
      <w:r w:rsidRPr="00735257">
        <w:rPr>
          <w:rFonts w:eastAsiaTheme="minorEastAsia" w:cs="AGaramondPro-Regular"/>
          <w:bCs/>
          <w:lang w:eastAsia="ja-JP"/>
        </w:rPr>
        <w:t>protocole</w:t>
      </w:r>
      <w:proofErr w:type="spellEnd"/>
    </w:p>
    <w:p w:rsidR="00BB1BB9" w:rsidRPr="00735257" w:rsidRDefault="00735257" w:rsidP="00BB1BB9">
      <w:pPr>
        <w:pStyle w:val="ListParagraph"/>
        <w:numPr>
          <w:ilvl w:val="0"/>
          <w:numId w:val="17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735257">
        <w:rPr>
          <w:rFonts w:eastAsiaTheme="minorEastAsia" w:cs="AGaramondPro-Regular"/>
          <w:bCs/>
          <w:lang w:val="fr-CA" w:eastAsia="ja-JP"/>
        </w:rPr>
        <w:t>Qualité des données</w:t>
      </w:r>
    </w:p>
    <w:p w:rsidR="00BB1BB9" w:rsidRPr="00735257" w:rsidRDefault="00735257" w:rsidP="00BB1BB9">
      <w:pPr>
        <w:pStyle w:val="ListParagraph"/>
        <w:numPr>
          <w:ilvl w:val="0"/>
          <w:numId w:val="17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735257">
        <w:rPr>
          <w:rFonts w:eastAsiaTheme="minorEastAsia" w:cs="AGaramondPro-Regular"/>
          <w:bCs/>
          <w:lang w:val="fr-CA" w:eastAsia="ja-JP"/>
        </w:rPr>
        <w:lastRenderedPageBreak/>
        <w:t>Uniformité des procédures cliniques et de laboratoire ou des évaluations des divers évaluateurs</w:t>
      </w:r>
    </w:p>
    <w:p w:rsidR="00BB1BB9" w:rsidRPr="00BB1BB9" w:rsidRDefault="00735257" w:rsidP="00BB1BB9">
      <w:pPr>
        <w:pStyle w:val="ListParagraph"/>
        <w:numPr>
          <w:ilvl w:val="0"/>
          <w:numId w:val="17"/>
        </w:numPr>
        <w:autoSpaceDE w:val="0"/>
        <w:autoSpaceDN w:val="0"/>
        <w:rPr>
          <w:rFonts w:eastAsiaTheme="minorEastAsia" w:cs="AGaramondPro-Regular"/>
          <w:lang w:eastAsia="ja-JP"/>
        </w:rPr>
      </w:pPr>
      <w:r w:rsidRPr="00735257">
        <w:rPr>
          <w:rFonts w:eastAsiaTheme="minorEastAsia" w:cs="AGaramondPro-Regular"/>
          <w:lang w:eastAsia="ja-JP"/>
        </w:rPr>
        <w:t>Confidentialité</w:t>
      </w:r>
    </w:p>
    <w:p w:rsidR="00735257" w:rsidRPr="00735257" w:rsidRDefault="00735257" w:rsidP="00BB1BB9">
      <w:pPr>
        <w:pStyle w:val="ListParagraph"/>
        <w:numPr>
          <w:ilvl w:val="0"/>
          <w:numId w:val="17"/>
        </w:numPr>
        <w:autoSpaceDE w:val="0"/>
        <w:autoSpaceDN w:val="0"/>
        <w:rPr>
          <w:rFonts w:eastAsiaTheme="minorEastAsia" w:cs="AGaramondPro-Regular"/>
          <w:lang w:eastAsia="ja-JP"/>
        </w:rPr>
      </w:pPr>
      <w:proofErr w:type="spellStart"/>
      <w:r w:rsidRPr="00735257">
        <w:rPr>
          <w:rFonts w:eastAsiaTheme="minorEastAsia" w:cs="AGaramondPro-Regular"/>
          <w:bCs/>
          <w:lang w:eastAsia="ja-JP"/>
        </w:rPr>
        <w:t>Budget</w:t>
      </w:r>
    </w:p>
    <w:p w:rsidR="00BB1BB9" w:rsidRDefault="00735257" w:rsidP="00BB1BB9">
      <w:pPr>
        <w:pStyle w:val="ListParagraph"/>
        <w:numPr>
          <w:ilvl w:val="0"/>
          <w:numId w:val="17"/>
        </w:numPr>
        <w:autoSpaceDE w:val="0"/>
        <w:autoSpaceDN w:val="0"/>
        <w:rPr>
          <w:rFonts w:eastAsiaTheme="minorEastAsia" w:cs="AGaramondPro-Regular"/>
          <w:lang w:eastAsia="ja-JP"/>
        </w:rPr>
      </w:pPr>
      <w:r>
        <w:rPr>
          <w:rFonts w:eastAsiaTheme="minorEastAsia" w:cs="AGaramondPro-Regular"/>
          <w:lang w:eastAsia="ja-JP"/>
        </w:rPr>
        <w:t>Autre</w:t>
      </w:r>
      <w:proofErr w:type="spellEnd"/>
    </w:p>
    <w:p w:rsidR="00735257" w:rsidRDefault="00735257" w:rsidP="00735257">
      <w:pPr>
        <w:autoSpaceDE w:val="0"/>
        <w:autoSpaceDN w:val="0"/>
        <w:adjustRightInd w:val="0"/>
        <w:rPr>
          <w:rFonts w:eastAsiaTheme="minorEastAsia" w:cs="AGaramondPro-Regular"/>
          <w:lang w:eastAsia="ja-JP"/>
        </w:rPr>
      </w:pPr>
    </w:p>
    <w:p w:rsidR="00BB1BB9" w:rsidRPr="00735257" w:rsidRDefault="00735257" w:rsidP="00BB1BB9">
      <w:pPr>
        <w:autoSpaceDE w:val="0"/>
        <w:autoSpaceDN w:val="0"/>
        <w:adjustRightInd w:val="0"/>
        <w:rPr>
          <w:rFonts w:eastAsiaTheme="minorEastAsia" w:cs="AGaramondPro-BoldItalic"/>
          <w:b/>
          <w:bCs/>
          <w:i/>
          <w:iCs/>
          <w:lang w:val="fr-CA" w:eastAsia="ja-JP"/>
        </w:rPr>
      </w:pPr>
      <w:r w:rsidRPr="00735257">
        <w:rPr>
          <w:rFonts w:eastAsiaTheme="minorEastAsia" w:cs="AGaramondPro-BoldItalic"/>
          <w:b/>
          <w:bCs/>
          <w:i/>
          <w:iCs/>
          <w:lang w:val="fr-CA" w:eastAsia="ja-JP"/>
        </w:rPr>
        <w:t xml:space="preserve">Maintenir une correspondance pertinente avec le comité d’éthique en ce qui concerne : </w:t>
      </w:r>
    </w:p>
    <w:p w:rsidR="00BB1BB9" w:rsidRPr="00BB1BB9" w:rsidRDefault="00735257" w:rsidP="00BB1BB9">
      <w:pPr>
        <w:pStyle w:val="ListParagraph"/>
        <w:numPr>
          <w:ilvl w:val="0"/>
          <w:numId w:val="18"/>
        </w:numPr>
        <w:autoSpaceDE w:val="0"/>
        <w:autoSpaceDN w:val="0"/>
        <w:rPr>
          <w:rFonts w:eastAsiaTheme="minorEastAsia" w:cs="AGaramondPro-Regular"/>
          <w:lang w:eastAsia="ja-JP"/>
        </w:rPr>
      </w:pPr>
      <w:proofErr w:type="spellStart"/>
      <w:r w:rsidRPr="00735257">
        <w:rPr>
          <w:rFonts w:eastAsiaTheme="minorEastAsia" w:cs="AGaramondPro-Regular"/>
          <w:bCs/>
          <w:lang w:eastAsia="ja-JP"/>
        </w:rPr>
        <w:t>Demande</w:t>
      </w:r>
      <w:proofErr w:type="spellEnd"/>
      <w:r w:rsidRPr="00735257">
        <w:rPr>
          <w:rFonts w:eastAsiaTheme="minorEastAsia" w:cs="AGaramondPro-Regular"/>
          <w:bCs/>
          <w:lang w:eastAsia="ja-JP"/>
        </w:rPr>
        <w:t xml:space="preserve"> </w:t>
      </w:r>
      <w:proofErr w:type="spellStart"/>
      <w:r w:rsidRPr="00735257">
        <w:rPr>
          <w:rFonts w:eastAsiaTheme="minorEastAsia" w:cs="AGaramondPro-Regular"/>
          <w:bCs/>
          <w:lang w:eastAsia="ja-JP"/>
        </w:rPr>
        <w:t>d’approbation</w:t>
      </w:r>
      <w:proofErr w:type="spellEnd"/>
      <w:r w:rsidRPr="00735257">
        <w:rPr>
          <w:rFonts w:eastAsiaTheme="minorEastAsia" w:cs="AGaramondPro-Regular"/>
          <w:bCs/>
          <w:lang w:eastAsia="ja-JP"/>
        </w:rPr>
        <w:t xml:space="preserve"> </w:t>
      </w:r>
      <w:proofErr w:type="spellStart"/>
      <w:r w:rsidRPr="00735257">
        <w:rPr>
          <w:rFonts w:eastAsiaTheme="minorEastAsia" w:cs="AGaramondPro-Regular"/>
          <w:bCs/>
          <w:lang w:eastAsia="ja-JP"/>
        </w:rPr>
        <w:t>annuelle</w:t>
      </w:r>
      <w:proofErr w:type="spellEnd"/>
    </w:p>
    <w:p w:rsidR="00BB1BB9" w:rsidRPr="00735257" w:rsidRDefault="00735257" w:rsidP="00735257">
      <w:pPr>
        <w:pStyle w:val="ListParagraph"/>
        <w:numPr>
          <w:ilvl w:val="0"/>
          <w:numId w:val="18"/>
        </w:numPr>
        <w:autoSpaceDE w:val="0"/>
        <w:autoSpaceDN w:val="0"/>
        <w:rPr>
          <w:rFonts w:eastAsiaTheme="minorEastAsia" w:cs="AGaramondPro-Regular"/>
          <w:bCs/>
          <w:lang w:val="fr-CA" w:eastAsia="ja-JP"/>
        </w:rPr>
      </w:pPr>
      <w:r w:rsidRPr="00735257">
        <w:rPr>
          <w:rFonts w:eastAsiaTheme="minorEastAsia" w:cs="AGaramondPro-Regular"/>
          <w:bCs/>
          <w:lang w:val="fr-CA" w:eastAsia="ja-JP"/>
        </w:rPr>
        <w:t>Changements au protocole ou aux formulaires de consentement</w:t>
      </w:r>
    </w:p>
    <w:p w:rsidR="00735257" w:rsidRPr="00735257" w:rsidRDefault="00735257" w:rsidP="00BB1BB9">
      <w:pPr>
        <w:pStyle w:val="ListParagraph"/>
        <w:numPr>
          <w:ilvl w:val="0"/>
          <w:numId w:val="18"/>
        </w:numPr>
        <w:autoSpaceDE w:val="0"/>
        <w:autoSpaceDN w:val="0"/>
        <w:rPr>
          <w:rFonts w:eastAsiaTheme="minorEastAsia" w:cs="AGaramondPro-Regular"/>
          <w:lang w:eastAsia="ja-JP"/>
        </w:rPr>
      </w:pPr>
      <w:proofErr w:type="spellStart"/>
      <w:r w:rsidRPr="00735257">
        <w:rPr>
          <w:rFonts w:eastAsiaTheme="minorEastAsia" w:cs="AGaramondPro-Regular"/>
          <w:bCs/>
          <w:lang w:eastAsia="ja-JP"/>
        </w:rPr>
        <w:t>Signalement</w:t>
      </w:r>
      <w:proofErr w:type="spellEnd"/>
      <w:r w:rsidRPr="00735257">
        <w:rPr>
          <w:rFonts w:eastAsiaTheme="minorEastAsia" w:cs="AGaramondPro-Regular"/>
          <w:bCs/>
          <w:lang w:eastAsia="ja-JP"/>
        </w:rPr>
        <w:t xml:space="preserve"> </w:t>
      </w:r>
      <w:proofErr w:type="spellStart"/>
      <w:r w:rsidRPr="00735257">
        <w:rPr>
          <w:rFonts w:eastAsiaTheme="minorEastAsia" w:cs="AGaramondPro-Regular"/>
          <w:bCs/>
          <w:lang w:eastAsia="ja-JP"/>
        </w:rPr>
        <w:t>d’incidents</w:t>
      </w:r>
      <w:proofErr w:type="spellEnd"/>
      <w:r w:rsidRPr="00735257">
        <w:rPr>
          <w:rFonts w:eastAsiaTheme="minorEastAsia" w:cs="AGaramondPro-Regular"/>
          <w:bCs/>
          <w:lang w:eastAsia="ja-JP"/>
        </w:rPr>
        <w:t xml:space="preserve"> </w:t>
      </w:r>
      <w:proofErr w:type="spellStart"/>
      <w:r w:rsidRPr="00735257">
        <w:rPr>
          <w:rFonts w:eastAsiaTheme="minorEastAsia" w:cs="AGaramondPro-Regular"/>
          <w:bCs/>
          <w:lang w:eastAsia="ja-JP"/>
        </w:rPr>
        <w:t>graves</w:t>
      </w:r>
    </w:p>
    <w:p w:rsidR="00BB1BB9" w:rsidRPr="00735257" w:rsidRDefault="00735257" w:rsidP="00BB1BB9">
      <w:pPr>
        <w:pStyle w:val="ListParagraph"/>
        <w:numPr>
          <w:ilvl w:val="0"/>
          <w:numId w:val="18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proofErr w:type="spellEnd"/>
      <w:r w:rsidRPr="00735257">
        <w:rPr>
          <w:rFonts w:eastAsiaTheme="minorEastAsia" w:cs="AGaramondPro-Regular"/>
          <w:bCs/>
          <w:lang w:val="fr-CA" w:eastAsia="ja-JP"/>
        </w:rPr>
        <w:t>Clôture du projet</w:t>
      </w:r>
    </w:p>
    <w:p w:rsidR="00BB1BB9" w:rsidRPr="00735257" w:rsidRDefault="00BB1BB9" w:rsidP="00BB1BB9">
      <w:pPr>
        <w:pStyle w:val="ListParagraph"/>
        <w:numPr>
          <w:ilvl w:val="0"/>
          <w:numId w:val="0"/>
        </w:numPr>
        <w:autoSpaceDE w:val="0"/>
        <w:autoSpaceDN w:val="0"/>
        <w:ind w:left="1080"/>
        <w:rPr>
          <w:rFonts w:eastAsiaTheme="minorEastAsia" w:cs="AGaramondPro-Regular"/>
          <w:lang w:val="fr-CA" w:eastAsia="ja-JP"/>
        </w:rPr>
      </w:pPr>
    </w:p>
    <w:p w:rsidR="00BB1BB9" w:rsidRPr="00735257" w:rsidRDefault="00735257" w:rsidP="00735257">
      <w:pPr>
        <w:autoSpaceDE w:val="0"/>
        <w:autoSpaceDN w:val="0"/>
        <w:adjustRightInd w:val="0"/>
        <w:ind w:left="360"/>
        <w:rPr>
          <w:rFonts w:eastAsiaTheme="minorEastAsia" w:cs="AGaramondPro-BoldItalic"/>
          <w:b/>
          <w:bCs/>
          <w:i/>
          <w:iCs/>
          <w:lang w:val="fr-CA" w:eastAsia="ja-JP"/>
        </w:rPr>
      </w:pPr>
      <w:r w:rsidRPr="00735257">
        <w:rPr>
          <w:rFonts w:eastAsiaTheme="minorEastAsia" w:cs="AGaramondPro-BoldItalic"/>
          <w:b/>
          <w:bCs/>
          <w:i/>
          <w:iCs/>
          <w:lang w:val="fr-CA" w:eastAsia="ja-JP"/>
        </w:rPr>
        <w:t>Prévoir des réunions ou communications fréquentes avec le précepteur et</w:t>
      </w:r>
      <w:r>
        <w:rPr>
          <w:rFonts w:eastAsiaTheme="minorEastAsia" w:cs="AGaramondPro-BoldItalic"/>
          <w:b/>
          <w:bCs/>
          <w:i/>
          <w:iCs/>
          <w:lang w:val="fr-CA" w:eastAsia="ja-JP"/>
        </w:rPr>
        <w:t xml:space="preserve"> </w:t>
      </w:r>
      <w:r w:rsidRPr="00735257">
        <w:rPr>
          <w:rFonts w:eastAsiaTheme="minorEastAsia" w:cs="AGaramondPro-BoldItalic"/>
          <w:b/>
          <w:bCs/>
          <w:i/>
          <w:iCs/>
          <w:lang w:val="fr-CA" w:eastAsia="ja-JP"/>
        </w:rPr>
        <w:t>l’équipe du projet</w:t>
      </w:r>
    </w:p>
    <w:p w:rsidR="00BB1BB9" w:rsidRPr="00735257" w:rsidRDefault="00735257" w:rsidP="008A6C82">
      <w:pPr>
        <w:pStyle w:val="Heading3"/>
        <w:rPr>
          <w:color w:val="003A5B" w:themeColor="text2"/>
          <w:lang w:val="en-US" w:eastAsia="ja-JP"/>
        </w:rPr>
      </w:pPr>
      <w:r w:rsidRPr="00735257">
        <w:rPr>
          <w:color w:val="003A5B" w:themeColor="text2"/>
          <w:lang w:val="en-US" w:eastAsia="ja-JP"/>
        </w:rPr>
        <w:t xml:space="preserve">Après le </w:t>
      </w:r>
      <w:proofErr w:type="spellStart"/>
      <w:r w:rsidRPr="00735257">
        <w:rPr>
          <w:color w:val="003A5B" w:themeColor="text2"/>
          <w:lang w:val="en-US" w:eastAsia="ja-JP"/>
        </w:rPr>
        <w:t>projet</w:t>
      </w:r>
      <w:proofErr w:type="spellEnd"/>
    </w:p>
    <w:p w:rsidR="00BB1BB9" w:rsidRPr="00735257" w:rsidRDefault="00735257" w:rsidP="00BB1BB9">
      <w:pPr>
        <w:pStyle w:val="ListParagraph"/>
        <w:numPr>
          <w:ilvl w:val="0"/>
          <w:numId w:val="19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735257">
        <w:rPr>
          <w:rFonts w:eastAsiaTheme="minorEastAsia" w:cs="AGaramondPro-Regular"/>
          <w:bCs/>
          <w:lang w:val="fr-CA" w:eastAsia="ja-JP"/>
        </w:rPr>
        <w:t>Effectuer les suivis nécessaires auprès des participants (p. ex., communication des résultats de l’étude)</w:t>
      </w:r>
    </w:p>
    <w:p w:rsidR="00BB1BB9" w:rsidRPr="00735257" w:rsidRDefault="00735257" w:rsidP="00BB1BB9">
      <w:pPr>
        <w:pStyle w:val="ListParagraph"/>
        <w:numPr>
          <w:ilvl w:val="0"/>
          <w:numId w:val="19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735257">
        <w:rPr>
          <w:rFonts w:eastAsiaTheme="minorEastAsia" w:cs="AGaramondPro-Regular"/>
          <w:bCs/>
          <w:lang w:val="fr-CA" w:eastAsia="ja-JP"/>
        </w:rPr>
        <w:t>Effectuer l’analyse des données (avec un statisticien si nécessaire)</w:t>
      </w:r>
    </w:p>
    <w:p w:rsidR="00BB1BB9" w:rsidRPr="00735257" w:rsidRDefault="00735257" w:rsidP="00BB1BB9">
      <w:pPr>
        <w:pStyle w:val="ListParagraph"/>
        <w:numPr>
          <w:ilvl w:val="0"/>
          <w:numId w:val="19"/>
        </w:numPr>
        <w:autoSpaceDE w:val="0"/>
        <w:autoSpaceDN w:val="0"/>
        <w:rPr>
          <w:rFonts w:eastAsiaTheme="minorEastAsia" w:cs="AGaramondPro-Regular"/>
          <w:lang w:val="fr-CA" w:eastAsia="ja-JP"/>
        </w:rPr>
      </w:pPr>
      <w:r w:rsidRPr="00735257">
        <w:rPr>
          <w:rFonts w:eastAsiaTheme="minorEastAsia" w:cs="AGaramondPro-Regular"/>
          <w:bCs/>
          <w:lang w:val="fr-CA" w:eastAsia="ja-JP"/>
        </w:rPr>
        <w:t>Passer en revue les documents de l’étude avec le précepteur</w:t>
      </w:r>
    </w:p>
    <w:p w:rsidR="00BB1BB9" w:rsidRPr="00735257" w:rsidRDefault="00735257" w:rsidP="00BB1BB9">
      <w:pPr>
        <w:pStyle w:val="ListParagraph"/>
        <w:numPr>
          <w:ilvl w:val="0"/>
          <w:numId w:val="19"/>
        </w:numPr>
        <w:autoSpaceDE w:val="0"/>
        <w:autoSpaceDN w:val="0"/>
        <w:rPr>
          <w:rStyle w:val="SubtleReference"/>
          <w:rFonts w:eastAsiaTheme="minorEastAsia" w:cs="AGaramondPro-Regular"/>
          <w:smallCaps w:val="0"/>
          <w:color w:val="595959"/>
          <w:lang w:val="fr-CA" w:eastAsia="ja-JP"/>
        </w:rPr>
      </w:pPr>
      <w:r w:rsidRPr="00735257">
        <w:rPr>
          <w:rFonts w:eastAsiaTheme="minorEastAsia" w:cs="AGaramondPro-Regular"/>
          <w:bCs/>
          <w:lang w:val="fr-CA" w:eastAsia="ja-JP"/>
        </w:rPr>
        <w:t>Archiver tous les documents conformément aux exigences de l’organisme</w:t>
      </w:r>
    </w:p>
    <w:p w:rsidR="00BB1BB9" w:rsidRPr="00735257" w:rsidRDefault="00BB1BB9" w:rsidP="00BB1BB9">
      <w:pPr>
        <w:rPr>
          <w:rStyle w:val="SubtleReference"/>
          <w:sz w:val="22"/>
          <w:lang w:val="fr-CA"/>
        </w:rPr>
      </w:pPr>
    </w:p>
    <w:p w:rsidR="00BB1BB9" w:rsidRPr="00735257" w:rsidRDefault="00BB1BB9" w:rsidP="00BB1BB9">
      <w:pPr>
        <w:rPr>
          <w:rStyle w:val="SubtleReference"/>
          <w:sz w:val="22"/>
          <w:lang w:val="fr-CA"/>
        </w:rPr>
      </w:pPr>
    </w:p>
    <w:p w:rsidR="00BB1BB9" w:rsidRPr="00735257" w:rsidRDefault="00BB1BB9" w:rsidP="00BB1BB9">
      <w:pPr>
        <w:rPr>
          <w:rStyle w:val="SubtleReference"/>
          <w:sz w:val="22"/>
          <w:lang w:val="fr-CA"/>
        </w:rPr>
      </w:pPr>
    </w:p>
    <w:p w:rsidR="00BB1BB9" w:rsidRPr="00735257" w:rsidRDefault="00BB1BB9" w:rsidP="00BB1BB9">
      <w:pPr>
        <w:rPr>
          <w:rStyle w:val="SubtleReference"/>
          <w:sz w:val="22"/>
          <w:lang w:val="fr-CA"/>
        </w:rPr>
      </w:pPr>
    </w:p>
    <w:p w:rsidR="00BB1BB9" w:rsidRPr="00735257" w:rsidRDefault="00BB1BB9" w:rsidP="00BB1BB9">
      <w:pPr>
        <w:rPr>
          <w:rStyle w:val="SubtleReference"/>
          <w:sz w:val="22"/>
          <w:lang w:val="fr-CA"/>
        </w:rPr>
      </w:pPr>
    </w:p>
    <w:sectPr w:rsidR="00BB1BB9" w:rsidRPr="00735257" w:rsidSect="00FF6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  <w:endnote w:id="1">
    <w:p w:rsidR="00BB1BB9" w:rsidRPr="00735257" w:rsidRDefault="00BB1BB9" w:rsidP="00BB1BB9">
      <w:pPr>
        <w:autoSpaceDE w:val="0"/>
        <w:autoSpaceDN w:val="0"/>
        <w:adjustRightInd w:val="0"/>
        <w:rPr>
          <w:sz w:val="18"/>
          <w:szCs w:val="18"/>
          <w:lang w:val="fr-CA"/>
        </w:rPr>
      </w:pPr>
      <w:r>
        <w:rPr>
          <w:rStyle w:val="EndnoteReference"/>
          <w:szCs w:val="18"/>
        </w:rPr>
        <w:endnoteRef/>
      </w:r>
      <w:r w:rsidRPr="00735257">
        <w:rPr>
          <w:sz w:val="18"/>
          <w:szCs w:val="18"/>
          <w:lang w:val="fr-CA"/>
        </w:rPr>
        <w:t xml:space="preserve"> </w:t>
      </w:r>
      <w:proofErr w:type="spellStart"/>
      <w:r w:rsidR="00735257" w:rsidRPr="00735257">
        <w:rPr>
          <w:rFonts w:eastAsiaTheme="minorEastAsia" w:cs="Frutiger-Light"/>
          <w:i/>
          <w:sz w:val="18"/>
          <w:szCs w:val="18"/>
          <w:lang w:val="fr-CA" w:eastAsia="ja-JP"/>
        </w:rPr>
        <w:t>Ackroyd-Stolarz</w:t>
      </w:r>
      <w:proofErr w:type="spellEnd"/>
      <w:r w:rsidR="00735257" w:rsidRPr="00735257">
        <w:rPr>
          <w:rFonts w:eastAsiaTheme="minorEastAsia" w:cs="Frutiger-Light"/>
          <w:i/>
          <w:sz w:val="18"/>
          <w:szCs w:val="18"/>
          <w:lang w:val="fr-CA" w:eastAsia="ja-JP"/>
        </w:rPr>
        <w:t xml:space="preserve"> S. Gestion et surveillance d’une étude. Tiré de : Harvey BJ, Lang ES, Frank JR, rédacteurs. Le guide de la recherche : introduction destinée </w:t>
      </w:r>
      <w:proofErr w:type="spellStart"/>
      <w:r w:rsidR="00735257" w:rsidRPr="00735257">
        <w:rPr>
          <w:rFonts w:eastAsiaTheme="minorEastAsia" w:cs="Frutiger-Light"/>
          <w:i/>
          <w:sz w:val="18"/>
          <w:szCs w:val="18"/>
          <w:lang w:val="fr-CA" w:eastAsia="ja-JP"/>
        </w:rPr>
        <w:t>auxrésidents</w:t>
      </w:r>
      <w:proofErr w:type="spellEnd"/>
      <w:r w:rsidR="00735257" w:rsidRPr="00735257">
        <w:rPr>
          <w:rFonts w:eastAsiaTheme="minorEastAsia" w:cs="Frutiger-Light"/>
          <w:i/>
          <w:sz w:val="18"/>
          <w:szCs w:val="18"/>
          <w:lang w:val="fr-CA" w:eastAsia="ja-JP"/>
        </w:rPr>
        <w:t>, autres stagiaires en santé et praticiens. Ottawa : Collège royal des médecins et chirurgiens du Canada, 2011. Reproduit et adapté avec autorisation.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venir Medium"/>
    <w:charset w:val="00"/>
    <w:family w:val="auto"/>
    <w:pitch w:val="variable"/>
    <w:sig w:usb0="00000005" w:usb1="00000001" w:usb2="00000000" w:usb3="00000000" w:csb0="00000093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GaramondPr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57" w:rsidRDefault="0073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735257" w:rsidRDefault="009E2429">
    <w:pPr>
      <w:pStyle w:val="Footer"/>
      <w:jc w:val="center"/>
      <w:rPr>
        <w:b/>
        <w:sz w:val="18"/>
        <w:szCs w:val="18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2830830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A17D9" id="Rectangle 3" o:spid="_x0000_s1026" style="position:absolute;margin-left:222.9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HOO2st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735257">
      <w:rPr>
        <w:b/>
        <w:sz w:val="18"/>
        <w:szCs w:val="18"/>
        <w:lang w:val="fr-CA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 w:rsidRPr="00735257">
      <w:rPr>
        <w:b/>
        <w:noProof/>
        <w:sz w:val="18"/>
        <w:szCs w:val="18"/>
        <w:lang w:val="fr-CA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 w:rsidRPr="00735257">
      <w:rPr>
        <w:b/>
        <w:noProof/>
        <w:sz w:val="18"/>
        <w:szCs w:val="18"/>
        <w:lang w:val="fr-CA"/>
      </w:rPr>
      <w:br/>
    </w:r>
  </w:p>
  <w:p w:rsidR="002802DD" w:rsidRPr="00735257" w:rsidRDefault="00735257" w:rsidP="00735257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MinionPro-Regular" w:hAnsi="MinionPro-Regular" w:cs="MinionPro-Regular"/>
        <w:color w:val="7F7F7F"/>
        <w:szCs w:val="24"/>
        <w:lang w:val="fr-CA"/>
      </w:rPr>
    </w:pPr>
    <w:r w:rsidRPr="00735257">
      <w:rPr>
        <w:rFonts w:cs="Open Sans"/>
        <w:color w:val="7F7F7F"/>
        <w:sz w:val="14"/>
        <w:szCs w:val="14"/>
        <w:lang w:val="fr-CA"/>
      </w:rPr>
      <w:t>Érudit Outils d’évaluation–</w:t>
    </w:r>
    <w:r w:rsidRPr="00735257">
      <w:rPr>
        <w:rFonts w:cs="Open Sans"/>
        <w:color w:val="003A5B" w:themeColor="text2"/>
        <w:sz w:val="14"/>
        <w:szCs w:val="14"/>
        <w:lang w:val="fr-CA"/>
      </w:rPr>
      <w:t xml:space="preserve"> </w:t>
    </w:r>
    <w:r>
      <w:rPr>
        <w:rFonts w:cs="Open Sans"/>
        <w:color w:val="003A5B" w:themeColor="text2"/>
        <w:sz w:val="14"/>
        <w:szCs w:val="14"/>
        <w:lang w:val="fr-CA"/>
      </w:rPr>
      <w:t xml:space="preserve">ENSEIGNEMENT </w:t>
    </w:r>
    <w:r>
      <w:rPr>
        <w:rFonts w:cs="Open Sans"/>
        <w:color w:val="003A5B" w:themeColor="text2"/>
        <w:sz w:val="14"/>
        <w:szCs w:val="14"/>
        <w:lang w:val="fr-CA"/>
      </w:rPr>
      <w:t>INDIVIDUALIS</w:t>
    </w:r>
    <w:bookmarkStart w:id="0" w:name="_GoBack"/>
    <w:bookmarkEnd w:id="0"/>
    <w:r w:rsidRPr="00EA2964">
      <w:rPr>
        <w:rFonts w:cs="Open Sans"/>
        <w:color w:val="003A5B" w:themeColor="text2"/>
        <w:sz w:val="14"/>
        <w:szCs w:val="14"/>
        <w:lang w:val="fr-CA"/>
      </w:rPr>
      <w:t>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3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57" w:rsidRDefault="0073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57" w:rsidRDefault="0073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67790A"/>
    <w:multiLevelType w:val="hybridMultilevel"/>
    <w:tmpl w:val="741A7872"/>
    <w:lvl w:ilvl="0" w:tplc="22A46E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42573"/>
    <w:multiLevelType w:val="hybridMultilevel"/>
    <w:tmpl w:val="FD8CA054"/>
    <w:lvl w:ilvl="0" w:tplc="22A46EA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A32441"/>
    <w:multiLevelType w:val="hybridMultilevel"/>
    <w:tmpl w:val="39A8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30A03"/>
    <w:multiLevelType w:val="hybridMultilevel"/>
    <w:tmpl w:val="C540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1EB"/>
    <w:multiLevelType w:val="hybridMultilevel"/>
    <w:tmpl w:val="C95A3342"/>
    <w:lvl w:ilvl="0" w:tplc="22A46EA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781F1A"/>
    <w:multiLevelType w:val="hybridMultilevel"/>
    <w:tmpl w:val="A27CE15C"/>
    <w:lvl w:ilvl="0" w:tplc="22A46E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1DF5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721E45"/>
    <w:rsid w:val="00734F3B"/>
    <w:rsid w:val="00735257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A6C82"/>
    <w:rsid w:val="008C2410"/>
    <w:rsid w:val="008D1DAB"/>
    <w:rsid w:val="008E3B4B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244E3"/>
    <w:rsid w:val="00B6716C"/>
    <w:rsid w:val="00B87B52"/>
    <w:rsid w:val="00BB1BB9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8A9AEE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BB1BB9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BB1BB9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D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1D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84CC8-8561-4E98-AE97-134146438644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3c17827-2a44-4186-817e-0d9f5805cd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901102-C27D-4AA1-8EC1-0C8C174F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22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5</cp:revision>
  <cp:lastPrinted>2018-08-24T17:51:00Z</cp:lastPrinted>
  <dcterms:created xsi:type="dcterms:W3CDTF">2021-10-21T18:23:00Z</dcterms:created>
  <dcterms:modified xsi:type="dcterms:W3CDTF">2021-11-25T19:38:00Z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